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11"/>
        <w:tblW w:w="10949" w:type="dxa"/>
        <w:tblCellMar>
          <w:left w:w="0" w:type="dxa"/>
          <w:right w:w="0" w:type="dxa"/>
        </w:tblCellMar>
        <w:tblLook w:val="04A0"/>
      </w:tblPr>
      <w:tblGrid>
        <w:gridCol w:w="5201"/>
        <w:gridCol w:w="5748"/>
      </w:tblGrid>
      <w:tr>
        <w:trPr>
          <w:trHeight w:val="802"/>
        </w:trPr>
        <w:tc>
          <w:tcPr>
            <w:tcW w:w="5201" w:type="dxa"/>
            <w:tcMar>
              <w:top w:w="0" w:type="dxa"/>
              <w:left w:w="108" w:type="dxa"/>
              <w:bottom w:w="0" w:type="dxa"/>
              <w:right w:w="108" w:type="dxa"/>
            </w:tcMar>
            <w:hideMark/>
          </w:tcPr>
          <w:p>
            <w:pPr>
              <w:spacing w:after="120"/>
              <w:ind w:right="-24"/>
              <w:jc w:val="center"/>
              <w:rPr>
                <w:rFonts w:eastAsia="Times New Roman"/>
                <w:b/>
                <w:bCs/>
                <w:sz w:val="26"/>
                <w:szCs w:val="26"/>
              </w:rPr>
            </w:pPr>
            <w:r>
              <w:rPr>
                <w:rFonts w:ascii=".VnTime" w:eastAsia="Times New Roman" w:hAnsi=".VnTime" w:cs="Times New Roman"/>
                <w:szCs w:val="24"/>
              </w:rPr>
              <w:pict>
                <v:line id="_x0000_s1033" style="position:absolute;left:0;text-align:left;z-index:251660288" from="87.3pt,33pt" to="154.3pt,33pt"/>
              </w:pict>
            </w:r>
            <w:r>
              <w:rPr>
                <w:bCs/>
                <w:sz w:val="26"/>
                <w:szCs w:val="26"/>
              </w:rPr>
              <w:t>PHÒNG GD&amp;ĐT ĐÔNG TRIỀU</w:t>
            </w:r>
            <w:r>
              <w:rPr>
                <w:b/>
                <w:bCs/>
                <w:sz w:val="26"/>
                <w:szCs w:val="26"/>
              </w:rPr>
              <w:br/>
              <w:t>TRƯỜNG THCS NGUYỄN ĐỨC CẢNH</w:t>
            </w:r>
          </w:p>
        </w:tc>
        <w:tc>
          <w:tcPr>
            <w:tcW w:w="5748" w:type="dxa"/>
            <w:tcMar>
              <w:top w:w="0" w:type="dxa"/>
              <w:left w:w="108" w:type="dxa"/>
              <w:bottom w:w="0" w:type="dxa"/>
              <w:right w:w="108" w:type="dxa"/>
            </w:tcMar>
            <w:hideMark/>
          </w:tcPr>
          <w:p>
            <w:pPr>
              <w:spacing w:after="120"/>
              <w:ind w:right="-24"/>
              <w:jc w:val="center"/>
              <w:rPr>
                <w:rFonts w:eastAsia="Times New Roman"/>
                <w:sz w:val="26"/>
                <w:szCs w:val="26"/>
              </w:rPr>
            </w:pPr>
            <w:r>
              <w:rPr>
                <w:rFonts w:ascii=".VnTime" w:eastAsia="Times New Roman" w:hAnsi=".VnTime" w:cs="Times New Roman"/>
                <w:szCs w:val="24"/>
              </w:rPr>
              <w:pict>
                <v:line id="_x0000_s1032" style="position:absolute;left:0;text-align:left;z-index:251661312;mso-position-horizontal-relative:text;mso-position-vertical-relative:text" from="62.25pt,33pt" to="224.25pt,33pt"/>
              </w:pict>
            </w:r>
            <w:r>
              <w:rPr>
                <w:b/>
                <w:bCs/>
                <w:sz w:val="26"/>
                <w:szCs w:val="26"/>
              </w:rPr>
              <w:t>CỘNG HÒA XÃ HỘI CHỦ NGHĨA VIỆT NAM</w:t>
            </w:r>
            <w:r>
              <w:rPr>
                <w:b/>
                <w:bCs/>
                <w:sz w:val="26"/>
                <w:szCs w:val="26"/>
              </w:rPr>
              <w:br/>
              <w:t>Độc lập – Tự do – Hạnh phúc</w:t>
            </w:r>
          </w:p>
        </w:tc>
      </w:tr>
      <w:tr>
        <w:trPr>
          <w:trHeight w:val="472"/>
        </w:trPr>
        <w:tc>
          <w:tcPr>
            <w:tcW w:w="5201" w:type="dxa"/>
            <w:tcMar>
              <w:top w:w="0" w:type="dxa"/>
              <w:left w:w="108" w:type="dxa"/>
              <w:bottom w:w="0" w:type="dxa"/>
              <w:right w:w="108" w:type="dxa"/>
            </w:tcMar>
            <w:hideMark/>
          </w:tcPr>
          <w:p>
            <w:pPr>
              <w:spacing w:after="120"/>
              <w:ind w:right="-24"/>
              <w:rPr>
                <w:rFonts w:eastAsia="Times New Roman"/>
                <w:sz w:val="26"/>
                <w:szCs w:val="26"/>
              </w:rPr>
            </w:pPr>
            <w:r>
              <w:rPr>
                <w:sz w:val="26"/>
                <w:szCs w:val="26"/>
              </w:rPr>
              <w:t xml:space="preserve">                   Số: 04/QĐ-TrTHCS</w:t>
            </w:r>
          </w:p>
        </w:tc>
        <w:tc>
          <w:tcPr>
            <w:tcW w:w="5748" w:type="dxa"/>
            <w:tcMar>
              <w:top w:w="0" w:type="dxa"/>
              <w:left w:w="108" w:type="dxa"/>
              <w:bottom w:w="0" w:type="dxa"/>
              <w:right w:w="108" w:type="dxa"/>
            </w:tcMar>
            <w:hideMark/>
          </w:tcPr>
          <w:p>
            <w:pPr>
              <w:spacing w:after="120"/>
              <w:ind w:right="-24"/>
              <w:jc w:val="right"/>
              <w:rPr>
                <w:rFonts w:eastAsia="Times New Roman"/>
                <w:sz w:val="26"/>
                <w:szCs w:val="26"/>
              </w:rPr>
            </w:pPr>
            <w:r>
              <w:rPr>
                <w:i/>
                <w:iCs/>
                <w:sz w:val="26"/>
                <w:szCs w:val="26"/>
              </w:rPr>
              <w:t>Đông Triều, ngày 09 tháng 10 năm 2021</w:t>
            </w:r>
          </w:p>
        </w:tc>
      </w:tr>
    </w:tbl>
    <w:p>
      <w:pPr>
        <w:pStyle w:val="NormalWeb"/>
        <w:spacing w:before="0" w:beforeAutospacing="0" w:after="0" w:afterAutospacing="0"/>
        <w:jc w:val="center"/>
        <w:rPr>
          <w:rStyle w:val="Strong"/>
          <w:sz w:val="28"/>
          <w:szCs w:val="28"/>
        </w:rPr>
      </w:pPr>
    </w:p>
    <w:p>
      <w:pPr>
        <w:pStyle w:val="NormalWeb"/>
        <w:spacing w:before="0" w:beforeAutospacing="0" w:after="0" w:afterAutospacing="0"/>
        <w:jc w:val="center"/>
      </w:pPr>
      <w:r>
        <w:rPr>
          <w:rStyle w:val="Strong"/>
          <w:sz w:val="28"/>
          <w:szCs w:val="28"/>
        </w:rPr>
        <w:t>QUYẾT ĐỊNH</w:t>
      </w:r>
    </w:p>
    <w:p>
      <w:pPr>
        <w:pStyle w:val="NormalWeb"/>
        <w:spacing w:before="0" w:beforeAutospacing="0" w:after="0" w:afterAutospacing="0"/>
        <w:jc w:val="center"/>
        <w:rPr>
          <w:b/>
          <w:sz w:val="28"/>
          <w:szCs w:val="28"/>
        </w:rPr>
      </w:pPr>
      <w:r>
        <w:rPr>
          <w:rStyle w:val="Strong"/>
          <w:sz w:val="28"/>
          <w:szCs w:val="28"/>
        </w:rPr>
        <w:t xml:space="preserve">ban hành </w:t>
      </w:r>
      <w:r>
        <w:rPr>
          <w:b/>
          <w:sz w:val="28"/>
          <w:szCs w:val="28"/>
        </w:rPr>
        <w:t>Qui chế phối hợp công tác giữa Chính quyền và Công đoàn</w:t>
      </w:r>
    </w:p>
    <w:p>
      <w:pPr>
        <w:pStyle w:val="NormalWeb"/>
        <w:spacing w:before="0" w:beforeAutospacing="0" w:after="0" w:afterAutospacing="0"/>
        <w:jc w:val="center"/>
        <w:rPr>
          <w:b/>
          <w:sz w:val="28"/>
          <w:szCs w:val="28"/>
        </w:rPr>
      </w:pPr>
      <w:r>
        <w:rPr>
          <w:b/>
          <w:sz w:val="28"/>
          <w:szCs w:val="28"/>
        </w:rPr>
        <w:t xml:space="preserve">năm học </w:t>
      </w:r>
      <w:r>
        <w:rPr>
          <w:b/>
          <w:szCs w:val="28"/>
          <w:lang w:val="nl-NL"/>
        </w:rPr>
        <w:t>2021-2022</w:t>
      </w:r>
    </w:p>
    <w:p>
      <w:pPr>
        <w:pStyle w:val="NormalWeb"/>
        <w:spacing w:before="0" w:beforeAutospacing="0" w:after="0" w:afterAutospacing="0"/>
        <w:jc w:val="center"/>
        <w:rPr>
          <w:lang w:val="vi-VN"/>
        </w:rPr>
      </w:pPr>
      <w:r>
        <w:rPr>
          <w:lang w:val="vi-VN" w:eastAsia="vi-VN"/>
        </w:rPr>
        <w:pict>
          <v:line id="_x0000_s1029" style="position:absolute;left:0;text-align:left;z-index:251658240" from="196.35pt,1.65pt" to="280.5pt,1.65pt"/>
        </w:pict>
      </w:r>
    </w:p>
    <w:p>
      <w:pPr>
        <w:pStyle w:val="NormalWeb"/>
        <w:spacing w:before="0" w:beforeAutospacing="0" w:after="0" w:afterAutospacing="0"/>
        <w:jc w:val="center"/>
        <w:rPr>
          <w:rStyle w:val="Strong"/>
          <w:sz w:val="28"/>
          <w:szCs w:val="28"/>
        </w:rPr>
      </w:pPr>
      <w:r>
        <w:rPr>
          <w:rStyle w:val="Strong"/>
          <w:sz w:val="28"/>
          <w:szCs w:val="28"/>
        </w:rPr>
        <w:t>HIỆU TRƯỞNG TRƯỜNG THCS NGUYỄN ĐỨC CẢNH</w:t>
      </w:r>
    </w:p>
    <w:p>
      <w:pPr>
        <w:pStyle w:val="Heading1"/>
        <w:spacing w:before="0" w:beforeAutospacing="0" w:after="0" w:afterAutospacing="0"/>
        <w:ind w:firstLine="720"/>
        <w:jc w:val="both"/>
        <w:rPr>
          <w:kern w:val="0"/>
          <w:sz w:val="28"/>
          <w:szCs w:val="28"/>
        </w:rPr>
      </w:pPr>
    </w:p>
    <w:p>
      <w:pPr>
        <w:pStyle w:val="Heading1"/>
        <w:spacing w:before="0" w:beforeAutospacing="0" w:after="240" w:afterAutospacing="0"/>
        <w:ind w:firstLine="720"/>
        <w:jc w:val="both"/>
        <w:rPr>
          <w:b w:val="0"/>
          <w:i/>
          <w:color w:val="000000"/>
          <w:sz w:val="28"/>
          <w:szCs w:val="28"/>
        </w:rPr>
      </w:pPr>
      <w:r>
        <w:rPr>
          <w:b w:val="0"/>
          <w:i/>
          <w:sz w:val="28"/>
          <w:szCs w:val="28"/>
        </w:rPr>
        <w:t xml:space="preserve">Căn cứ </w:t>
      </w:r>
      <w:r>
        <w:rPr>
          <w:b w:val="0"/>
          <w:i/>
          <w:color w:val="000000"/>
          <w:sz w:val="28"/>
          <w:szCs w:val="28"/>
        </w:rPr>
        <w:t>Luật số 12/2012/QH13 của Quốc hội : LUẬT CÔNG ĐOÀN;</w:t>
      </w:r>
    </w:p>
    <w:p>
      <w:pPr>
        <w:pStyle w:val="Heading1"/>
        <w:spacing w:before="0" w:beforeAutospacing="0" w:after="240" w:afterAutospacing="0"/>
        <w:ind w:firstLine="600"/>
        <w:jc w:val="both"/>
        <w:rPr>
          <w:b w:val="0"/>
          <w:i/>
          <w:sz w:val="28"/>
          <w:szCs w:val="28"/>
          <w:shd w:val="clear" w:color="auto" w:fill="F9FAFC"/>
        </w:rPr>
      </w:pPr>
      <w:r>
        <w:rPr>
          <w:b w:val="0"/>
          <w:i/>
          <w:sz w:val="28"/>
          <w:szCs w:val="28"/>
        </w:rPr>
        <w:t xml:space="preserve">  Căn cứ Thông tư số: 08/TT-LB ngày 19/5/1987 của Bộ GD&amp;ĐT qui định phối hợp giữa Chính quyền và Công đoàn giáo dục các cấp trong ngành giáo dục</w:t>
      </w:r>
    </w:p>
    <w:p>
      <w:pPr>
        <w:pStyle w:val="Heading1"/>
        <w:spacing w:before="0" w:beforeAutospacing="0" w:after="240" w:afterAutospacing="0"/>
        <w:jc w:val="both"/>
        <w:rPr>
          <w:b w:val="0"/>
          <w:i/>
          <w:color w:val="000000"/>
          <w:sz w:val="28"/>
          <w:szCs w:val="28"/>
        </w:rPr>
      </w:pPr>
      <w:r>
        <w:rPr>
          <w:b w:val="0"/>
          <w:i/>
          <w:color w:val="000000"/>
          <w:sz w:val="28"/>
          <w:szCs w:val="28"/>
        </w:rPr>
        <w:tab/>
        <w:t xml:space="preserve">Căn cứ công văn số 1068/PGD&amp;ĐT-LĐLĐ ngày 16/9/2021 của Phòng GD&amp;ĐT và Liên đoàn Lao động thị xã Đông Triều v/v tổ chức Hội nghị cán bộ, viên chức, giáo viên, lao động năm học </w:t>
      </w:r>
      <w:r>
        <w:rPr>
          <w:b w:val="0"/>
          <w:i/>
          <w:sz w:val="28"/>
          <w:szCs w:val="28"/>
          <w:lang w:val="nl-NL"/>
        </w:rPr>
        <w:t>2021-2022</w:t>
      </w:r>
      <w:r>
        <w:rPr>
          <w:b w:val="0"/>
          <w:i/>
          <w:color w:val="000000"/>
          <w:sz w:val="28"/>
          <w:szCs w:val="28"/>
        </w:rPr>
        <w:t>;</w:t>
      </w:r>
    </w:p>
    <w:p>
      <w:pPr>
        <w:pStyle w:val="NormalWeb"/>
        <w:spacing w:before="120" w:beforeAutospacing="0" w:after="240" w:afterAutospacing="0"/>
        <w:ind w:firstLine="720"/>
        <w:jc w:val="both"/>
        <w:rPr>
          <w:i/>
          <w:sz w:val="28"/>
          <w:szCs w:val="28"/>
        </w:rPr>
      </w:pPr>
      <w:r>
        <w:rPr>
          <w:i/>
          <w:sz w:val="28"/>
          <w:szCs w:val="28"/>
        </w:rPr>
        <w:t>Căn cứ Điều lệ trường THCS, trường THPT và trường phổ thông có nhiều cấp học ban hành kèm theo Quyết định số 32/2020/QĐ-BGD&amp;ĐT ngày 15 tháng 9 năm 2020 của Bộ trưởng Bộ Giáo dục và Đào tạo;</w:t>
      </w:r>
    </w:p>
    <w:p>
      <w:pPr>
        <w:pStyle w:val="NormalWeb"/>
        <w:spacing w:before="120" w:beforeAutospacing="0" w:after="0" w:afterAutospacing="0"/>
        <w:ind w:firstLine="720"/>
        <w:jc w:val="both"/>
        <w:rPr>
          <w:i/>
          <w:sz w:val="28"/>
          <w:szCs w:val="28"/>
        </w:rPr>
      </w:pPr>
      <w:r>
        <w:rPr>
          <w:i/>
          <w:sz w:val="28"/>
          <w:szCs w:val="28"/>
        </w:rPr>
        <w:t xml:space="preserve">Căn cứ Quyết định số </w:t>
      </w:r>
      <w:r>
        <w:rPr>
          <w:i/>
          <w:sz w:val="28"/>
          <w:szCs w:val="28"/>
          <w:lang w:val="pt-BR"/>
        </w:rPr>
        <w:t xml:space="preserve">số 414/QĐ-UB ngày 20 tháng 6 năm 2004 của Ủy ban nhân dân huyện Đông Triều </w:t>
      </w:r>
      <w:r>
        <w:rPr>
          <w:i/>
          <w:sz w:val="28"/>
          <w:szCs w:val="28"/>
        </w:rPr>
        <w:t>về việc thành lập trường THCS Nguyễn Đức Cảnh;</w:t>
      </w:r>
    </w:p>
    <w:p>
      <w:pPr>
        <w:spacing w:before="30" w:after="0" w:line="216" w:lineRule="atLeast"/>
        <w:ind w:firstLine="600"/>
        <w:jc w:val="both"/>
        <w:rPr>
          <w:rFonts w:eastAsia="Times New Roman" w:cs="Times New Roman"/>
          <w:i/>
          <w:szCs w:val="28"/>
        </w:rPr>
      </w:pPr>
      <w:r>
        <w:rPr>
          <w:rFonts w:eastAsia="Times New Roman" w:cs="Times New Roman"/>
          <w:i/>
          <w:szCs w:val="28"/>
        </w:rPr>
        <w:t xml:space="preserve">Căn cứ vào kế hoạch công tác chuyênmôn nhà trường và kế hoạch công tác Công đoàn năm học </w:t>
      </w:r>
      <w:r>
        <w:rPr>
          <w:i/>
          <w:szCs w:val="28"/>
          <w:lang w:val="nl-NL"/>
        </w:rPr>
        <w:t>2021-2022</w:t>
      </w:r>
      <w:r>
        <w:rPr>
          <w:rFonts w:eastAsia="Times New Roman" w:cs="Times New Roman"/>
          <w:i/>
          <w:szCs w:val="28"/>
        </w:rPr>
        <w:t>;</w:t>
      </w:r>
    </w:p>
    <w:p>
      <w:pPr>
        <w:spacing w:before="30" w:after="0" w:line="216" w:lineRule="atLeast"/>
        <w:ind w:firstLine="600"/>
        <w:jc w:val="both"/>
        <w:rPr>
          <w:rFonts w:eastAsia="Times New Roman" w:cs="Times New Roman"/>
          <w:i/>
          <w:szCs w:val="28"/>
        </w:rPr>
      </w:pPr>
      <w:r>
        <w:rPr>
          <w:rFonts w:eastAsia="Times New Roman" w:cs="Times New Roman"/>
          <w:i/>
          <w:szCs w:val="28"/>
        </w:rPr>
        <w:t>Căn cứ đặc điểm tình hình thực tế tại đơn vị;</w:t>
      </w:r>
    </w:p>
    <w:p>
      <w:pPr>
        <w:spacing w:before="240" w:after="240"/>
        <w:jc w:val="center"/>
        <w:rPr>
          <w:szCs w:val="28"/>
        </w:rPr>
      </w:pPr>
      <w:r>
        <w:rPr>
          <w:b/>
          <w:bCs/>
          <w:szCs w:val="28"/>
        </w:rPr>
        <w:t>QUYẾT ĐỊNH:</w:t>
      </w:r>
    </w:p>
    <w:p>
      <w:pPr>
        <w:spacing w:before="120"/>
        <w:jc w:val="both"/>
        <w:rPr>
          <w:b/>
          <w:bCs/>
          <w:szCs w:val="28"/>
        </w:rPr>
      </w:pPr>
      <w:r>
        <w:rPr>
          <w:b/>
          <w:bCs/>
          <w:szCs w:val="28"/>
        </w:rPr>
        <w:t xml:space="preserve">            Điều 1. </w:t>
      </w:r>
      <w:r>
        <w:rPr>
          <w:szCs w:val="28"/>
        </w:rPr>
        <w:t xml:space="preserve">Ban hành kèm theo Quyết định này </w:t>
      </w:r>
      <w:r>
        <w:rPr>
          <w:rFonts w:eastAsia="Times New Roman" w:cs="Times New Roman"/>
          <w:szCs w:val="28"/>
        </w:rPr>
        <w:t xml:space="preserve">Qui chế phối hợp công tác giữa Chính quyền và Công đoàn năm học </w:t>
      </w:r>
      <w:r>
        <w:rPr>
          <w:szCs w:val="28"/>
          <w:lang w:val="nl-NL"/>
        </w:rPr>
        <w:t>2021-2022</w:t>
      </w:r>
      <w:r>
        <w:rPr>
          <w:b/>
          <w:szCs w:val="28"/>
          <w:lang w:val="nl-NL"/>
        </w:rPr>
        <w:t xml:space="preserve"> </w:t>
      </w:r>
      <w:r>
        <w:rPr>
          <w:szCs w:val="28"/>
        </w:rPr>
        <w:t xml:space="preserve">của trường </w:t>
      </w:r>
      <w:r>
        <w:rPr>
          <w:bCs/>
          <w:szCs w:val="28"/>
        </w:rPr>
        <w:t xml:space="preserve">THCS </w:t>
      </w:r>
      <w:r>
        <w:rPr>
          <w:szCs w:val="28"/>
        </w:rPr>
        <w:t>Nguyễn Đức Cảnh</w:t>
      </w:r>
      <w:r>
        <w:rPr>
          <w:bCs/>
          <w:szCs w:val="28"/>
        </w:rPr>
        <w:t>.</w:t>
      </w:r>
    </w:p>
    <w:p>
      <w:pPr>
        <w:spacing w:before="120"/>
        <w:ind w:firstLine="720"/>
        <w:jc w:val="both"/>
        <w:rPr>
          <w:szCs w:val="28"/>
        </w:rPr>
      </w:pPr>
      <w:r>
        <w:rPr>
          <w:b/>
          <w:bCs/>
          <w:szCs w:val="28"/>
        </w:rPr>
        <w:t>Điều 2.</w:t>
      </w:r>
      <w:r>
        <w:rPr>
          <w:szCs w:val="28"/>
        </w:rPr>
        <w:t xml:space="preserve"> Quyết định có hiệu lực kể từ ngày ký và thay thế cho Quy chế đã ban hành kèm theo Quyết định</w:t>
      </w:r>
      <w:r>
        <w:rPr>
          <w:i/>
          <w:szCs w:val="28"/>
        </w:rPr>
        <w:t xml:space="preserve"> Số: 06/QĐ-TrTHCS</w:t>
      </w:r>
      <w:r>
        <w:rPr>
          <w:b/>
          <w:szCs w:val="28"/>
        </w:rPr>
        <w:t xml:space="preserve"> </w:t>
      </w:r>
      <w:r>
        <w:rPr>
          <w:szCs w:val="28"/>
        </w:rPr>
        <w:t>ngày 10 tháng 10  năm 2020.</w:t>
      </w:r>
    </w:p>
    <w:p>
      <w:pPr>
        <w:spacing w:before="120" w:after="240"/>
        <w:jc w:val="both"/>
        <w:rPr>
          <w:szCs w:val="28"/>
        </w:rPr>
      </w:pPr>
      <w:r>
        <w:rPr>
          <w:szCs w:val="28"/>
        </w:rPr>
        <w:t xml:space="preserve">            </w:t>
      </w:r>
      <w:r>
        <w:rPr>
          <w:b/>
          <w:bCs/>
          <w:szCs w:val="28"/>
        </w:rPr>
        <w:t xml:space="preserve">Điều 3. </w:t>
      </w:r>
      <w:r>
        <w:rPr>
          <w:bCs/>
          <w:szCs w:val="28"/>
        </w:rPr>
        <w:t>Bộ phận hành chính tổng hợp, các tổ chuyên môn</w:t>
      </w:r>
      <w:r>
        <w:rPr>
          <w:b/>
          <w:bCs/>
          <w:szCs w:val="28"/>
        </w:rPr>
        <w:t>, c</w:t>
      </w:r>
      <w:r>
        <w:rPr>
          <w:szCs w:val="28"/>
        </w:rPr>
        <w:t>án bộ, viên chức, người lao động đang làm việc tại trường và cá nhân, tổ chức có liên quan chịu trách nhiệm thi hành quyết định này./.</w:t>
      </w:r>
    </w:p>
    <w:tbl>
      <w:tblPr>
        <w:tblW w:w="9481" w:type="dxa"/>
        <w:tblInd w:w="480" w:type="dxa"/>
        <w:tblLook w:val="01E0"/>
      </w:tblPr>
      <w:tblGrid>
        <w:gridCol w:w="4738"/>
        <w:gridCol w:w="4743"/>
      </w:tblGrid>
      <w:tr>
        <w:trPr>
          <w:trHeight w:val="102"/>
        </w:trPr>
        <w:tc>
          <w:tcPr>
            <w:tcW w:w="4738" w:type="dxa"/>
            <w:hideMark/>
          </w:tcPr>
          <w:p>
            <w:pPr>
              <w:pStyle w:val="NormalWeb"/>
              <w:spacing w:before="120" w:beforeAutospacing="0" w:after="0" w:afterAutospacing="0" w:line="276" w:lineRule="auto"/>
              <w:ind w:right="-510"/>
              <w:jc w:val="both"/>
            </w:pPr>
            <w:r>
              <w:rPr>
                <w:rStyle w:val="Strong"/>
                <w:sz w:val="28"/>
                <w:szCs w:val="28"/>
              </w:rPr>
              <w:t xml:space="preserve">  </w:t>
            </w:r>
            <w:r>
              <w:rPr>
                <w:rStyle w:val="Emphasis"/>
                <w:b/>
                <w:bCs/>
              </w:rPr>
              <w:t>Nơi nhận:</w:t>
            </w:r>
            <w:r>
              <w:rPr>
                <w:rStyle w:val="Emphasis"/>
                <w:b/>
                <w:bCs/>
              </w:rPr>
              <w:tab/>
            </w:r>
            <w:r>
              <w:rPr>
                <w:rStyle w:val="Emphasis"/>
                <w:b/>
                <w:bCs/>
              </w:rPr>
              <w:tab/>
            </w:r>
            <w:r>
              <w:rPr>
                <w:rStyle w:val="Emphasis"/>
                <w:b/>
                <w:bCs/>
              </w:rPr>
              <w:tab/>
            </w:r>
            <w:r>
              <w:rPr>
                <w:rStyle w:val="Emphasis"/>
                <w:b/>
                <w:bCs/>
              </w:rPr>
              <w:tab/>
            </w:r>
            <w:r>
              <w:rPr>
                <w:rStyle w:val="Emphasis"/>
                <w:b/>
                <w:bCs/>
              </w:rPr>
              <w:tab/>
            </w:r>
          </w:p>
          <w:p>
            <w:pPr>
              <w:pStyle w:val="NormalWeb"/>
              <w:spacing w:before="0" w:beforeAutospacing="0" w:after="0" w:afterAutospacing="0" w:line="276" w:lineRule="auto"/>
              <w:ind w:right="-510"/>
              <w:jc w:val="both"/>
            </w:pPr>
            <w:r>
              <w:t>- Phòng GD&amp;ĐT (b/c);</w:t>
            </w:r>
          </w:p>
          <w:p>
            <w:pPr>
              <w:pStyle w:val="NormalWeb"/>
              <w:spacing w:before="0" w:beforeAutospacing="0" w:after="0" w:afterAutospacing="0" w:line="276" w:lineRule="auto"/>
              <w:ind w:right="-510"/>
              <w:jc w:val="both"/>
            </w:pPr>
            <w:r>
              <w:t>- Liên đoàn LĐ Thị xã (b/c);</w:t>
            </w:r>
          </w:p>
          <w:p>
            <w:pPr>
              <w:pStyle w:val="NormalWeb"/>
              <w:spacing w:before="0" w:beforeAutospacing="0" w:after="0" w:afterAutospacing="0" w:line="276" w:lineRule="auto"/>
              <w:ind w:right="-510"/>
              <w:jc w:val="both"/>
            </w:pPr>
            <w:r>
              <w:t>- Các đoàn thể nhà trường (t//h);</w:t>
            </w:r>
          </w:p>
          <w:p>
            <w:pPr>
              <w:pStyle w:val="NormalWeb"/>
              <w:spacing w:before="0" w:beforeAutospacing="0" w:after="0" w:afterAutospacing="0" w:line="276" w:lineRule="auto"/>
              <w:ind w:right="-510"/>
              <w:jc w:val="both"/>
              <w:rPr>
                <w:lang w:val="vi-VN"/>
              </w:rPr>
            </w:pPr>
            <w:r>
              <w:t>- Như Điều 3 (thực hiện);</w:t>
            </w:r>
          </w:p>
          <w:p>
            <w:pPr>
              <w:pStyle w:val="NormalWeb"/>
              <w:spacing w:before="0" w:beforeAutospacing="0" w:after="0" w:afterAutospacing="0" w:line="276" w:lineRule="auto"/>
              <w:ind w:right="-510"/>
              <w:jc w:val="both"/>
              <w:rPr>
                <w:sz w:val="28"/>
                <w:szCs w:val="28"/>
              </w:rPr>
            </w:pPr>
            <w:r>
              <w:t>-Lưu:VT.</w:t>
            </w:r>
          </w:p>
        </w:tc>
        <w:tc>
          <w:tcPr>
            <w:tcW w:w="4743" w:type="dxa"/>
          </w:tcPr>
          <w:p>
            <w:pPr>
              <w:pStyle w:val="NormalWeb"/>
              <w:spacing w:before="120" w:beforeAutospacing="0" w:after="0" w:afterAutospacing="0" w:line="276" w:lineRule="auto"/>
              <w:ind w:right="-510"/>
              <w:jc w:val="center"/>
              <w:rPr>
                <w:rStyle w:val="Strong"/>
                <w:sz w:val="28"/>
                <w:szCs w:val="28"/>
              </w:rPr>
            </w:pPr>
            <w:r>
              <w:rPr>
                <w:rStyle w:val="Strong"/>
                <w:sz w:val="28"/>
                <w:szCs w:val="28"/>
              </w:rPr>
              <w:t>HIỆU TRƯỞNG</w:t>
            </w:r>
          </w:p>
          <w:p>
            <w:pPr>
              <w:pStyle w:val="NormalWeb"/>
              <w:spacing w:before="120" w:beforeAutospacing="0" w:after="0" w:afterAutospacing="0" w:line="276" w:lineRule="auto"/>
              <w:ind w:right="-510"/>
              <w:jc w:val="center"/>
              <w:rPr>
                <w:rStyle w:val="Strong"/>
                <w:sz w:val="28"/>
                <w:szCs w:val="28"/>
              </w:rPr>
            </w:pPr>
          </w:p>
          <w:p>
            <w:pPr>
              <w:pStyle w:val="NormalWeb"/>
              <w:spacing w:before="120" w:beforeAutospacing="0" w:after="0" w:afterAutospacing="0" w:line="276" w:lineRule="auto"/>
              <w:ind w:right="-510"/>
              <w:jc w:val="center"/>
              <w:rPr>
                <w:rStyle w:val="Strong"/>
                <w:sz w:val="28"/>
                <w:szCs w:val="28"/>
              </w:rPr>
            </w:pPr>
          </w:p>
          <w:p>
            <w:pPr>
              <w:pStyle w:val="NormalWeb"/>
              <w:spacing w:before="120" w:beforeAutospacing="0" w:after="0" w:afterAutospacing="0" w:line="276" w:lineRule="auto"/>
              <w:ind w:right="-510"/>
              <w:rPr>
                <w:rStyle w:val="Strong"/>
                <w:sz w:val="28"/>
                <w:szCs w:val="28"/>
              </w:rPr>
            </w:pPr>
            <w:r>
              <w:rPr>
                <w:rStyle w:val="Strong"/>
                <w:sz w:val="28"/>
                <w:szCs w:val="28"/>
              </w:rPr>
              <w:t xml:space="preserve">                             Nguyễn Hồng Quảng</w:t>
            </w:r>
          </w:p>
        </w:tc>
      </w:tr>
      <w:tr>
        <w:trPr>
          <w:trHeight w:val="102"/>
        </w:trPr>
        <w:tc>
          <w:tcPr>
            <w:tcW w:w="4738" w:type="dxa"/>
          </w:tcPr>
          <w:p>
            <w:pPr>
              <w:pStyle w:val="NormalWeb"/>
              <w:spacing w:before="120" w:beforeAutospacing="0" w:after="0" w:afterAutospacing="0" w:line="276" w:lineRule="auto"/>
              <w:ind w:right="-510"/>
              <w:jc w:val="both"/>
              <w:rPr>
                <w:rStyle w:val="Strong"/>
                <w:sz w:val="28"/>
                <w:szCs w:val="28"/>
              </w:rPr>
            </w:pPr>
          </w:p>
        </w:tc>
        <w:tc>
          <w:tcPr>
            <w:tcW w:w="4743" w:type="dxa"/>
          </w:tcPr>
          <w:p>
            <w:pPr>
              <w:pStyle w:val="NormalWeb"/>
              <w:spacing w:before="120" w:beforeAutospacing="0" w:after="0" w:afterAutospacing="0" w:line="276" w:lineRule="auto"/>
              <w:ind w:right="-510"/>
              <w:jc w:val="center"/>
              <w:rPr>
                <w:rStyle w:val="Strong"/>
                <w:sz w:val="28"/>
                <w:szCs w:val="28"/>
              </w:rPr>
            </w:pPr>
          </w:p>
        </w:tc>
      </w:tr>
    </w:tbl>
    <w:tbl>
      <w:tblPr>
        <w:tblpPr w:leftFromText="180" w:rightFromText="180" w:vertAnchor="text" w:horzAnchor="margin" w:tblpXSpec="center" w:tblpY="-912"/>
        <w:tblW w:w="10803" w:type="dxa"/>
        <w:tblCellMar>
          <w:left w:w="0" w:type="dxa"/>
          <w:right w:w="0" w:type="dxa"/>
        </w:tblCellMar>
        <w:tblLook w:val="04A0"/>
      </w:tblPr>
      <w:tblGrid>
        <w:gridCol w:w="4849"/>
        <w:gridCol w:w="5954"/>
      </w:tblGrid>
      <w:tr>
        <w:trPr>
          <w:trHeight w:val="889"/>
        </w:trPr>
        <w:tc>
          <w:tcPr>
            <w:tcW w:w="4849" w:type="dxa"/>
            <w:tcMar>
              <w:top w:w="0" w:type="dxa"/>
              <w:left w:w="108" w:type="dxa"/>
              <w:bottom w:w="0" w:type="dxa"/>
              <w:right w:w="108" w:type="dxa"/>
            </w:tcMar>
            <w:hideMark/>
          </w:tcPr>
          <w:p>
            <w:pPr>
              <w:spacing w:after="0" w:line="276" w:lineRule="auto"/>
              <w:jc w:val="center"/>
              <w:rPr>
                <w:rFonts w:eastAsia="Times New Roman" w:cs="Times New Roman"/>
                <w:sz w:val="26"/>
                <w:szCs w:val="26"/>
              </w:rPr>
            </w:pPr>
            <w:r>
              <w:rPr>
                <w:rFonts w:eastAsia="Times New Roman" w:cs="Times New Roman"/>
                <w:sz w:val="26"/>
                <w:szCs w:val="26"/>
              </w:rPr>
              <w:t>PHÒNG GD&amp;ĐT THỊ XÃ ĐÔNG TRIỀU</w:t>
            </w:r>
          </w:p>
          <w:p>
            <w:pPr>
              <w:spacing w:after="0" w:line="276" w:lineRule="auto"/>
              <w:jc w:val="center"/>
              <w:rPr>
                <w:rFonts w:eastAsia="Times New Roman" w:cs="Times New Roman"/>
                <w:sz w:val="26"/>
                <w:szCs w:val="26"/>
              </w:rPr>
            </w:pPr>
            <w:r>
              <w:rPr>
                <w:rFonts w:eastAsia="Times New Roman" w:cs="Times New Roman"/>
                <w:b/>
                <w:bCs/>
                <w:sz w:val="26"/>
                <w:szCs w:val="26"/>
              </w:rPr>
              <w:t>TRƯỜNG THCS NGUYỄN ĐỨC CẢNH</w:t>
            </w:r>
            <w:r>
              <w:rPr>
                <w:rFonts w:eastAsia="Times New Roman" w:cs="Times New Roman"/>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1.5pt;height:1.65pt"/>
              </w:pict>
            </w:r>
            <w:r>
              <w:rPr>
                <w:rFonts w:eastAsia="Times New Roman" w:cs="Times New Roman"/>
                <w:sz w:val="26"/>
                <w:szCs w:val="26"/>
              </w:rPr>
              <w:t> </w:t>
            </w:r>
          </w:p>
          <w:p>
            <w:pPr>
              <w:spacing w:after="0" w:line="276" w:lineRule="auto"/>
              <w:jc w:val="center"/>
              <w:rPr>
                <w:rFonts w:eastAsia="Times New Roman" w:cs="Times New Roman"/>
                <w:sz w:val="26"/>
                <w:szCs w:val="26"/>
              </w:rPr>
            </w:pPr>
            <w:r>
              <w:rPr>
                <w:rFonts w:eastAsia="Times New Roman" w:cs="Times New Roman"/>
                <w:sz w:val="26"/>
                <w:szCs w:val="26"/>
              </w:rPr>
              <w:t>Số:  04/QC-TrTHCS</w:t>
            </w:r>
          </w:p>
        </w:tc>
        <w:tc>
          <w:tcPr>
            <w:tcW w:w="5954" w:type="dxa"/>
            <w:tcMar>
              <w:top w:w="0" w:type="dxa"/>
              <w:left w:w="108" w:type="dxa"/>
              <w:bottom w:w="0" w:type="dxa"/>
              <w:right w:w="108" w:type="dxa"/>
            </w:tcMar>
            <w:hideMark/>
          </w:tcPr>
          <w:p>
            <w:pPr>
              <w:spacing w:after="0" w:line="276" w:lineRule="auto"/>
              <w:jc w:val="center"/>
              <w:rPr>
                <w:rFonts w:eastAsia="Times New Roman" w:cs="Times New Roman"/>
                <w:sz w:val="26"/>
                <w:szCs w:val="26"/>
              </w:rPr>
            </w:pPr>
            <w:r>
              <w:rPr>
                <w:rFonts w:eastAsia="Times New Roman" w:cs="Times New Roman"/>
                <w:b/>
                <w:bCs/>
                <w:sz w:val="26"/>
                <w:szCs w:val="26"/>
              </w:rPr>
              <w:t>CỘNG HOÀ XÃ HỘI CHỦ NGHĨA VIỆT NAM</w:t>
            </w:r>
          </w:p>
          <w:p>
            <w:pPr>
              <w:spacing w:after="0" w:line="276" w:lineRule="auto"/>
              <w:jc w:val="center"/>
              <w:rPr>
                <w:rFonts w:eastAsia="Times New Roman" w:cs="Times New Roman"/>
                <w:sz w:val="26"/>
                <w:szCs w:val="26"/>
              </w:rPr>
            </w:pPr>
            <w:r>
              <w:rPr>
                <w:rFonts w:eastAsia="Times New Roman" w:cs="Times New Roman"/>
                <w:b/>
                <w:bCs/>
                <w:sz w:val="26"/>
                <w:szCs w:val="26"/>
              </w:rPr>
              <w:t>Độc lập - Tự do - Hạnh phúc</w:t>
            </w:r>
          </w:p>
          <w:p>
            <w:pPr>
              <w:spacing w:after="0" w:line="276" w:lineRule="auto"/>
              <w:rPr>
                <w:rFonts w:eastAsia="Times New Roman" w:cs="Times New Roman"/>
                <w:sz w:val="26"/>
                <w:szCs w:val="26"/>
              </w:rPr>
            </w:pPr>
            <w:r>
              <w:rPr>
                <w:rFonts w:eastAsia="Times New Roman" w:cs="Times New Roman"/>
                <w:sz w:val="26"/>
                <w:szCs w:val="26"/>
              </w:rPr>
              <w:t>  </w:t>
            </w:r>
          </w:p>
          <w:p>
            <w:pPr>
              <w:spacing w:after="0" w:line="276" w:lineRule="auto"/>
              <w:jc w:val="center"/>
              <w:rPr>
                <w:rFonts w:eastAsia="Times New Roman" w:cs="Times New Roman"/>
                <w:sz w:val="26"/>
                <w:szCs w:val="26"/>
              </w:rPr>
            </w:pPr>
            <w:r>
              <w:rPr>
                <w:rFonts w:eastAsia="Times New Roman" w:cs="Times New Roman"/>
                <w:i/>
                <w:iCs/>
                <w:sz w:val="26"/>
                <w:szCs w:val="26"/>
              </w:rPr>
              <w:t xml:space="preserve">                  Đông Triều, ngày 09 tháng 10 năm 2019</w:t>
            </w:r>
          </w:p>
        </w:tc>
      </w:tr>
    </w:tbl>
    <w:p>
      <w:pPr>
        <w:spacing w:after="0" w:line="276" w:lineRule="auto"/>
        <w:rPr>
          <w:rFonts w:eastAsia="Times New Roman" w:cs="Times New Roman"/>
          <w:szCs w:val="28"/>
        </w:rPr>
      </w:pPr>
    </w:p>
    <w:p>
      <w:pPr>
        <w:spacing w:after="0" w:line="240" w:lineRule="auto"/>
        <w:jc w:val="center"/>
        <w:rPr>
          <w:rFonts w:eastAsia="Times New Roman" w:cs="Times New Roman"/>
          <w:szCs w:val="28"/>
        </w:rPr>
      </w:pPr>
      <w:r>
        <w:rPr>
          <w:rFonts w:eastAsia="Times New Roman" w:cs="Times New Roman"/>
          <w:b/>
          <w:bCs/>
          <w:szCs w:val="28"/>
        </w:rPr>
        <w:t>QUY CHẾ PHỐI HỢP CÔNG TÁC </w:t>
      </w:r>
    </w:p>
    <w:p>
      <w:pPr>
        <w:spacing w:after="0" w:line="240" w:lineRule="auto"/>
        <w:jc w:val="center"/>
        <w:rPr>
          <w:rFonts w:eastAsia="Times New Roman" w:cs="Times New Roman"/>
          <w:szCs w:val="28"/>
        </w:rPr>
      </w:pPr>
      <w:r>
        <w:rPr>
          <w:rFonts w:eastAsia="Times New Roman" w:cs="Times New Roman"/>
          <w:b/>
          <w:bCs/>
          <w:szCs w:val="28"/>
        </w:rPr>
        <w:t>GIỮA NHÀ TRƯỜNG VÀ CÔNG ĐOÀN </w:t>
      </w:r>
    </w:p>
    <w:p>
      <w:pPr>
        <w:spacing w:after="0" w:line="240" w:lineRule="auto"/>
        <w:jc w:val="center"/>
        <w:rPr>
          <w:rFonts w:eastAsia="Times New Roman" w:cs="Times New Roman"/>
          <w:szCs w:val="28"/>
        </w:rPr>
      </w:pPr>
      <w:r>
        <w:rPr>
          <w:rFonts w:eastAsia="Times New Roman" w:cs="Times New Roman"/>
          <w:b/>
          <w:bCs/>
          <w:szCs w:val="28"/>
        </w:rPr>
        <w:t xml:space="preserve">Năm học </w:t>
      </w:r>
      <w:r>
        <w:rPr>
          <w:b/>
          <w:szCs w:val="28"/>
          <w:lang w:val="nl-NL"/>
        </w:rPr>
        <w:t>2021-2022</w:t>
      </w:r>
    </w:p>
    <w:p>
      <w:pPr>
        <w:spacing w:after="0" w:line="240" w:lineRule="auto"/>
        <w:jc w:val="center"/>
        <w:rPr>
          <w:rFonts w:eastAsia="Times New Roman" w:cs="Times New Roman"/>
          <w:szCs w:val="28"/>
        </w:rPr>
      </w:pPr>
      <w:r>
        <w:rPr>
          <w:rFonts w:eastAsia="Times New Roman" w:cs="Times New Roman"/>
          <w:szCs w:val="28"/>
        </w:rPr>
        <w:pict>
          <v:shape id="_x0000_i1026" type="#_x0000_t75" alt="" style="width:85.5pt;height:1.65pt"/>
        </w:pict>
      </w:r>
      <w:r>
        <w:rPr>
          <w:rFonts w:eastAsia="Times New Roman" w:cs="Times New Roman"/>
          <w:szCs w:val="28"/>
        </w:rPr>
        <w:t> </w:t>
      </w:r>
    </w:p>
    <w:p>
      <w:pPr>
        <w:spacing w:before="30" w:after="0" w:line="216" w:lineRule="atLeast"/>
        <w:ind w:firstLine="600"/>
        <w:jc w:val="both"/>
        <w:rPr>
          <w:rFonts w:eastAsia="Times New Roman" w:cs="Times New Roman"/>
          <w:szCs w:val="28"/>
        </w:rPr>
      </w:pPr>
      <w:r>
        <w:rPr>
          <w:rFonts w:eastAsia="Times New Roman" w:cs="Times New Roman"/>
          <w:szCs w:val="28"/>
        </w:rPr>
        <w:t xml:space="preserve">BGH trường THCS Nguyễn Đức Cảnh và BCH Công đoàn cơ sở thống nhất xây dựng Qui chế phối hợp công tác giữa Chính quyền và Công đoàn năm học </w:t>
      </w:r>
      <w:r>
        <w:rPr>
          <w:szCs w:val="28"/>
          <w:lang w:val="nl-NL"/>
        </w:rPr>
        <w:t xml:space="preserve">2021-2022 </w:t>
      </w:r>
      <w:r>
        <w:rPr>
          <w:rFonts w:eastAsia="Times New Roman" w:cs="Times New Roman"/>
          <w:szCs w:val="28"/>
        </w:rPr>
        <w:t>cụ thể như sau:</w:t>
      </w:r>
    </w:p>
    <w:p>
      <w:pPr>
        <w:spacing w:before="30" w:after="0" w:line="216" w:lineRule="atLeast"/>
        <w:ind w:firstLine="600"/>
        <w:jc w:val="both"/>
        <w:rPr>
          <w:rFonts w:eastAsia="Times New Roman" w:cs="Times New Roman"/>
          <w:szCs w:val="28"/>
        </w:rPr>
      </w:pPr>
      <w:r>
        <w:rPr>
          <w:rFonts w:eastAsia="Times New Roman" w:cs="Times New Roman"/>
          <w:b/>
          <w:bCs/>
          <w:szCs w:val="28"/>
        </w:rPr>
        <w:t>I. Một số nội dung kế hoạch chung:</w:t>
      </w:r>
    </w:p>
    <w:p>
      <w:pPr>
        <w:spacing w:before="30" w:after="0" w:line="216" w:lineRule="atLeast"/>
        <w:ind w:firstLine="600"/>
        <w:jc w:val="both"/>
        <w:rPr>
          <w:rFonts w:eastAsia="Times New Roman" w:cs="Times New Roman"/>
          <w:szCs w:val="28"/>
        </w:rPr>
      </w:pPr>
      <w:r>
        <w:rPr>
          <w:rFonts w:eastAsia="Times New Roman" w:cs="Times New Roman"/>
          <w:szCs w:val="28"/>
        </w:rPr>
        <w:t>1. Mối quan hệ công tác giữa chínhquyền và Công đoàn dựa trên cơ sở: Công đoàn là tổ chức chính trị xã hội rộng lớn của giai cấp công nhân và người lao động, cùng với chính quyền chăm lo vàbảo vệ quyền và lợi ích hợp pháp của người lao động; đại diện và tập hợp đoàn viên lao động tham gia quản lý cơ quan, phát huy quyền dân chủ, thực hiện nghĩa vụ, quyền lợi của người CB-GV-VC-LĐ, xây dựng đơn vị và Công đoàn cơ sở trong sạch, vững mạnh.</w:t>
      </w:r>
    </w:p>
    <w:p>
      <w:pPr>
        <w:spacing w:before="30" w:after="0" w:line="216" w:lineRule="atLeast"/>
        <w:ind w:firstLine="600"/>
        <w:jc w:val="both"/>
        <w:rPr>
          <w:rFonts w:eastAsia="Times New Roman" w:cs="Times New Roman"/>
          <w:szCs w:val="28"/>
        </w:rPr>
      </w:pPr>
      <w:r>
        <w:rPr>
          <w:rFonts w:eastAsia="Times New Roman" w:cs="Times New Roman"/>
          <w:szCs w:val="28"/>
        </w:rPr>
        <w:t>2. Quan hệ giữa chính quyền với Công đoàn là quan hệ hợp tác, tôn trọng quyền độc lập của mỗi tổ chức. BGH khi thực hiện chức năng quản lý của mình có liên quan đến trách nhiệm, quyền và lợi ích của CB-GV-VC-LĐ nhất thiết phải có sự phối hợp bàn bạc với BCH Công đoàn cơ sở.</w:t>
      </w:r>
    </w:p>
    <w:p>
      <w:pPr>
        <w:spacing w:before="30" w:after="0" w:line="216" w:lineRule="atLeast"/>
        <w:ind w:firstLine="600"/>
        <w:jc w:val="both"/>
        <w:rPr>
          <w:rFonts w:eastAsia="Times New Roman" w:cs="Times New Roman"/>
          <w:szCs w:val="28"/>
        </w:rPr>
      </w:pPr>
      <w:r>
        <w:rPr>
          <w:rFonts w:eastAsia="Times New Roman" w:cs="Times New Roman"/>
          <w:szCs w:val="28"/>
        </w:rPr>
        <w:t>3. Hiệu trưởng khi xây dựng chương trình, kế hoạch từng tháng – học kỳ - năm học của đơn vị cần gửi trước văn bản dự thảo kế hoạch công tác cho BCH Công đoàn cơ sở nghiên cứu và chuẩn bị đóng góp ý kiến.</w:t>
      </w:r>
    </w:p>
    <w:p>
      <w:pPr>
        <w:spacing w:before="30" w:after="0" w:line="216" w:lineRule="atLeast"/>
        <w:ind w:firstLine="600"/>
        <w:jc w:val="both"/>
        <w:rPr>
          <w:rFonts w:eastAsia="Times New Roman" w:cs="Times New Roman"/>
          <w:szCs w:val="28"/>
        </w:rPr>
      </w:pPr>
      <w:r>
        <w:rPr>
          <w:rFonts w:eastAsia="Times New Roman" w:cs="Times New Roman"/>
          <w:szCs w:val="28"/>
        </w:rPr>
        <w:t>4. BGH phối hợp với BCH Công đoàn tổ chức Hội nghị CBCC hàng năm vào đầu năm học cần phải đảm bảo quy trình tổ chức từ tổ chuyên môn trở lên; theo dõi, kiểm tra, đôn đốc việc thực hiện nghị quyết hội nghị CBCC theo chức năng của mỗi tổ chức.</w:t>
      </w:r>
    </w:p>
    <w:p>
      <w:pPr>
        <w:spacing w:before="30" w:after="0" w:line="216" w:lineRule="atLeast"/>
        <w:ind w:firstLine="600"/>
        <w:jc w:val="both"/>
        <w:rPr>
          <w:rFonts w:eastAsia="Times New Roman" w:cs="Times New Roman"/>
          <w:szCs w:val="28"/>
        </w:rPr>
      </w:pPr>
      <w:r>
        <w:rPr>
          <w:rFonts w:eastAsia="Times New Roman" w:cs="Times New Roman"/>
          <w:szCs w:val="28"/>
        </w:rPr>
        <w:t>5. BGH phối hợp với BCH Côngđoàn cơ sở chỉ đạo quá trình thực hiện dân chủ cơ sở, xây dựng quy chế dân chủ của đơn vị và phát huy ý thức trách nhiệm của từng thành viên trong đơn vị.Công khai việc bố trí sử dụng lao động, chọn (cử, bầu) tổ chuyên môn; thăm dò ý kiến bổ nhiệm CBQL theo quy định và hướng dẫn của cấp trên.</w:t>
      </w:r>
    </w:p>
    <w:p>
      <w:pPr>
        <w:spacing w:before="30" w:after="0" w:line="216" w:lineRule="atLeast"/>
        <w:ind w:firstLine="600"/>
        <w:jc w:val="both"/>
        <w:rPr>
          <w:rFonts w:eastAsia="Times New Roman" w:cs="Times New Roman"/>
          <w:szCs w:val="28"/>
        </w:rPr>
      </w:pPr>
      <w:r>
        <w:rPr>
          <w:rFonts w:eastAsia="Times New Roman" w:cs="Times New Roman"/>
          <w:szCs w:val="28"/>
        </w:rPr>
        <w:t>6.  Chính quyền và Công đoàn có trách nhiệm phổ biến đầy đủ, kịp thời các chế độ chính sách của Nhà nước, của ngành đến từng cán bộ giáo viên, công nhân viên.</w:t>
      </w:r>
    </w:p>
    <w:p>
      <w:pPr>
        <w:spacing w:before="30" w:after="0" w:line="216" w:lineRule="atLeast"/>
        <w:ind w:firstLine="600"/>
        <w:jc w:val="both"/>
        <w:rPr>
          <w:rFonts w:eastAsia="Times New Roman" w:cs="Times New Roman"/>
          <w:szCs w:val="28"/>
        </w:rPr>
      </w:pPr>
      <w:r>
        <w:rPr>
          <w:rFonts w:eastAsia="Times New Roman" w:cs="Times New Roman"/>
          <w:b/>
          <w:bCs/>
          <w:szCs w:val="28"/>
        </w:rPr>
        <w:t>II. Trách nhiệm của chính quyền:</w:t>
      </w:r>
    </w:p>
    <w:p>
      <w:pPr>
        <w:spacing w:before="30" w:after="0" w:line="216" w:lineRule="atLeast"/>
        <w:ind w:firstLine="600"/>
        <w:jc w:val="both"/>
        <w:rPr>
          <w:rFonts w:eastAsia="Times New Roman" w:cs="Times New Roman"/>
          <w:szCs w:val="28"/>
        </w:rPr>
      </w:pPr>
      <w:r>
        <w:rPr>
          <w:rFonts w:eastAsia="Times New Roman" w:cs="Times New Roman"/>
          <w:szCs w:val="28"/>
        </w:rPr>
        <w:t>1. BGH có trách nhiệm tổ chức, chỉ đạo các phong trào thi đua của đơn vị phù hợp với yêu cầu của tình hình thực tế. Sau khi bàn bạc với Công đoàn, BGH quyết định mục tiêu, nội dung, chế độ khen thưởng và phối hợp với Công đoàn sơ kết, tổng kết, đánh giá phong trào thi đua, quyết định khen thưởng tập thể, cá nhân đạt thành tíchxuất sắc.</w:t>
      </w:r>
    </w:p>
    <w:p>
      <w:pPr>
        <w:spacing w:before="30" w:after="0" w:line="216" w:lineRule="atLeast"/>
        <w:ind w:firstLine="600"/>
        <w:jc w:val="both"/>
        <w:rPr>
          <w:rFonts w:eastAsia="Times New Roman" w:cs="Times New Roman"/>
          <w:szCs w:val="28"/>
        </w:rPr>
      </w:pPr>
      <w:r>
        <w:rPr>
          <w:rFonts w:eastAsia="Times New Roman" w:cs="Times New Roman"/>
          <w:szCs w:val="28"/>
        </w:rPr>
        <w:t>2. Vào đầu năm học tổ chức phát động và đăng ký thi đua tập thể và cá nhân thông qua Hội nghị CBVCLĐ.</w:t>
      </w:r>
    </w:p>
    <w:p>
      <w:pPr>
        <w:spacing w:before="30" w:after="0" w:line="216" w:lineRule="atLeast"/>
        <w:ind w:firstLine="600"/>
        <w:jc w:val="both"/>
        <w:rPr>
          <w:rFonts w:eastAsia="Times New Roman" w:cs="Times New Roman"/>
          <w:szCs w:val="28"/>
        </w:rPr>
      </w:pPr>
      <w:r>
        <w:rPr>
          <w:rFonts w:eastAsia="Times New Roman" w:cs="Times New Roman"/>
          <w:szCs w:val="28"/>
        </w:rPr>
        <w:lastRenderedPageBreak/>
        <w:t>3. Hiệu trưởng phối hợp với BCH Công đoàn xây dựng quy hoạch cán bộ Công đoàn cùng với việc xây dựng quy hoạch cán bộ quản lý.</w:t>
      </w:r>
    </w:p>
    <w:p>
      <w:pPr>
        <w:spacing w:before="30" w:after="0" w:line="216" w:lineRule="atLeast"/>
        <w:ind w:firstLine="600"/>
        <w:jc w:val="both"/>
        <w:rPr>
          <w:rFonts w:eastAsia="Times New Roman" w:cs="Times New Roman"/>
          <w:szCs w:val="28"/>
        </w:rPr>
      </w:pPr>
      <w:r>
        <w:rPr>
          <w:rFonts w:eastAsia="Times New Roman" w:cs="Times New Roman"/>
          <w:szCs w:val="28"/>
        </w:rPr>
        <w:t>4. Hiệu trưởng có trách nhiệm cung cấp các phương tiện làm việc tùy theo khả năng  kinh phí của đơn vị hàng năm, hỗ trợ cho Công đoàn một số kinh phí cho hoạt động phong trào.</w:t>
      </w:r>
    </w:p>
    <w:p>
      <w:pPr>
        <w:spacing w:before="30" w:after="0" w:line="216" w:lineRule="atLeast"/>
        <w:ind w:firstLine="600"/>
        <w:jc w:val="both"/>
        <w:rPr>
          <w:rFonts w:eastAsia="Times New Roman" w:cs="Times New Roman"/>
          <w:szCs w:val="28"/>
        </w:rPr>
      </w:pPr>
      <w:r>
        <w:rPr>
          <w:rFonts w:eastAsia="Times New Roman" w:cs="Times New Roman"/>
          <w:szCs w:val="28"/>
        </w:rPr>
        <w:t>5.  Cán bộ Công đoàn khi được Công đoàn cấp trên triệu tập dự Hội nghị, Hội thảo, tập huấn, Đại hội….chính quyền phải tạo điều kiện sắp xếp bố trí thời gian và thanh toán công tác phí theo Quy chế chi tiêu nội bộ của đơn vị.</w:t>
      </w:r>
    </w:p>
    <w:p>
      <w:pPr>
        <w:spacing w:before="30" w:after="0" w:line="216" w:lineRule="atLeast"/>
        <w:ind w:firstLine="600"/>
        <w:jc w:val="both"/>
        <w:rPr>
          <w:rFonts w:eastAsia="Times New Roman" w:cs="Times New Roman"/>
          <w:szCs w:val="28"/>
        </w:rPr>
      </w:pPr>
      <w:r>
        <w:rPr>
          <w:rFonts w:eastAsia="Times New Roman" w:cs="Times New Roman"/>
          <w:szCs w:val="28"/>
        </w:rPr>
        <w:t>7. Chủ tịch và ủy viên BCH Công đoàn cơ sở được dành một số thời gian để làm công tác Công đoàn.</w:t>
      </w:r>
    </w:p>
    <w:p>
      <w:pPr>
        <w:spacing w:before="30" w:after="0" w:line="216" w:lineRule="atLeast"/>
        <w:ind w:right="-510" w:firstLine="600"/>
        <w:jc w:val="both"/>
        <w:rPr>
          <w:rFonts w:eastAsia="Times New Roman" w:cs="Times New Roman"/>
          <w:szCs w:val="28"/>
        </w:rPr>
      </w:pPr>
      <w:r>
        <w:rPr>
          <w:rFonts w:eastAsia="Times New Roman" w:cs="Times New Roman"/>
          <w:b/>
          <w:bCs/>
          <w:szCs w:val="28"/>
        </w:rPr>
        <w:t>III. Trách nhiệm của Công đoàn:</w:t>
      </w:r>
    </w:p>
    <w:p>
      <w:pPr>
        <w:spacing w:before="30" w:after="0" w:line="216" w:lineRule="atLeast"/>
        <w:ind w:firstLine="600"/>
        <w:jc w:val="both"/>
        <w:rPr>
          <w:rFonts w:eastAsia="Times New Roman" w:cs="Times New Roman"/>
          <w:szCs w:val="28"/>
        </w:rPr>
      </w:pPr>
      <w:r>
        <w:rPr>
          <w:rFonts w:eastAsia="Times New Roman" w:cs="Times New Roman"/>
          <w:szCs w:val="28"/>
        </w:rPr>
        <w:t>1. Công đoàn cơ sở có trách nhiệm vận động đoàn viên lao động đăng ký thi đua, tích cực hưởng ứng và tham gia các cuộc vận động, các phong trào thi đua của đơn vị và của ngành.</w:t>
      </w:r>
    </w:p>
    <w:p>
      <w:pPr>
        <w:spacing w:before="30" w:after="0" w:line="216" w:lineRule="atLeast"/>
        <w:ind w:firstLine="600"/>
        <w:jc w:val="both"/>
        <w:rPr>
          <w:rFonts w:eastAsia="Times New Roman" w:cs="Times New Roman"/>
          <w:szCs w:val="28"/>
        </w:rPr>
      </w:pPr>
      <w:r>
        <w:rPr>
          <w:rFonts w:eastAsia="Times New Roman" w:cs="Times New Roman"/>
          <w:szCs w:val="28"/>
        </w:rPr>
        <w:t>2.  Công đoàn được tham gia các hội đồng: Thi đua khen thưởng và kỷ luật, xét nâng bậc lương, tuyển dụng lao động.</w:t>
      </w:r>
    </w:p>
    <w:p>
      <w:pPr>
        <w:spacing w:before="30" w:after="0" w:line="216" w:lineRule="atLeast"/>
        <w:ind w:firstLine="600"/>
        <w:jc w:val="both"/>
        <w:rPr>
          <w:rFonts w:eastAsia="Times New Roman" w:cs="Times New Roman"/>
          <w:szCs w:val="28"/>
        </w:rPr>
      </w:pPr>
      <w:r>
        <w:rPr>
          <w:rFonts w:eastAsia="Times New Roman" w:cs="Times New Roman"/>
          <w:szCs w:val="28"/>
        </w:rPr>
        <w:t>3. BCH Công đoàn ra quyết định công nhận và trực tiếp chỉ đạo hoạt động của Ban TTND theo hướng dẫn của Thanh tra Nhà nước.</w:t>
      </w:r>
    </w:p>
    <w:p>
      <w:pPr>
        <w:spacing w:before="30" w:after="0" w:line="216" w:lineRule="atLeast"/>
        <w:ind w:firstLine="600"/>
        <w:jc w:val="both"/>
        <w:rPr>
          <w:rFonts w:eastAsia="Times New Roman" w:cs="Times New Roman"/>
          <w:szCs w:val="28"/>
        </w:rPr>
      </w:pPr>
      <w:r>
        <w:rPr>
          <w:rFonts w:eastAsia="Times New Roman" w:cs="Times New Roman"/>
          <w:szCs w:val="28"/>
        </w:rPr>
        <w:t xml:space="preserve">4. Ban chấp hành Công đoàn có trách nhiệm động viên đoàn viên lao động tích cực tham gia các hoạt động VHVN-TDTT, </w:t>
      </w:r>
      <w:bookmarkStart w:id="0" w:name="_GoBack"/>
      <w:bookmarkEnd w:id="0"/>
      <w:r>
        <w:rPr>
          <w:rFonts w:eastAsia="Times New Roman" w:cs="Times New Roman"/>
          <w:szCs w:val="28"/>
        </w:rPr>
        <w:t>kết hợp với chính quyền tổ chức cho CB-GV-VC-LĐ đi tham quan học tập trao đổi kinh nghiệm; tổ chức các hội thảo, chuyên đề nhằm nâng cao nhận thức về văn hóa xã hội cho CB-GV-VC-LĐ. Thăm hỏi, động viên đoàn viên lúc ốm đau, hoạn nạn.</w:t>
      </w:r>
    </w:p>
    <w:p>
      <w:pPr>
        <w:spacing w:before="30" w:after="0" w:line="216" w:lineRule="atLeast"/>
        <w:ind w:firstLine="600"/>
        <w:jc w:val="both"/>
        <w:rPr>
          <w:rFonts w:eastAsia="Times New Roman" w:cs="Times New Roman"/>
          <w:szCs w:val="28"/>
        </w:rPr>
      </w:pPr>
      <w:r>
        <w:rPr>
          <w:rFonts w:eastAsia="Times New Roman" w:cs="Times New Roman"/>
          <w:szCs w:val="28"/>
        </w:rPr>
        <w:t>5. BCH Công đoàn triển khai các Nghịquyết, chủ trương của Công đoàn cấp trên; vận động đoàn viên lao động tham gia các hoạt động nhân đạo, từ thiện, tương thân tương ái và các cuộc vận động lớn của ngành.</w:t>
      </w:r>
    </w:p>
    <w:p>
      <w:pPr>
        <w:spacing w:before="30" w:after="0" w:line="216" w:lineRule="atLeast"/>
        <w:ind w:firstLine="600"/>
        <w:jc w:val="both"/>
        <w:rPr>
          <w:rFonts w:eastAsia="Times New Roman" w:cs="Times New Roman"/>
          <w:szCs w:val="28"/>
        </w:rPr>
      </w:pPr>
      <w:r>
        <w:rPr>
          <w:rFonts w:eastAsia="Times New Roman" w:cs="Times New Roman"/>
          <w:szCs w:val="28"/>
        </w:rPr>
        <w:t>6. Định kỳ hàng năm Công đoàn tổ chức sơ kết, đánh giá xếp loại giáo viên, lấy ý kiến góp ý phê bình và đánh giá xếp loại Hiệu trưởng theo quy định.</w:t>
      </w:r>
    </w:p>
    <w:p>
      <w:pPr>
        <w:spacing w:before="30" w:after="0" w:line="216" w:lineRule="atLeast"/>
        <w:ind w:firstLine="600"/>
        <w:jc w:val="both"/>
        <w:rPr>
          <w:rFonts w:eastAsia="Times New Roman" w:cs="Times New Roman"/>
          <w:szCs w:val="28"/>
        </w:rPr>
      </w:pPr>
      <w:r>
        <w:rPr>
          <w:rFonts w:eastAsia="Times New Roman" w:cs="Times New Roman"/>
          <w:b/>
          <w:bCs/>
          <w:szCs w:val="28"/>
        </w:rPr>
        <w:t>IV. Lề lối làm việc:</w:t>
      </w:r>
    </w:p>
    <w:p>
      <w:pPr>
        <w:spacing w:before="30" w:after="0" w:line="216" w:lineRule="atLeast"/>
        <w:ind w:firstLine="600"/>
        <w:jc w:val="both"/>
        <w:rPr>
          <w:rFonts w:eastAsia="Times New Roman" w:cs="Times New Roman"/>
          <w:szCs w:val="28"/>
        </w:rPr>
      </w:pPr>
      <w:r>
        <w:rPr>
          <w:rFonts w:eastAsia="Times New Roman" w:cs="Times New Roman"/>
          <w:szCs w:val="28"/>
        </w:rPr>
        <w:t>1. Công đoàn được tham gia các cuộc họp giao ban định kỳ của chính quyền, sơ kết, tổng kết.</w:t>
      </w:r>
    </w:p>
    <w:p>
      <w:pPr>
        <w:spacing w:before="30" w:after="0" w:line="216" w:lineRule="atLeast"/>
        <w:ind w:firstLine="600"/>
        <w:jc w:val="both"/>
        <w:rPr>
          <w:rFonts w:eastAsia="Times New Roman" w:cs="Times New Roman"/>
          <w:szCs w:val="28"/>
        </w:rPr>
      </w:pPr>
      <w:r>
        <w:rPr>
          <w:rFonts w:eastAsia="Times New Roman" w:cs="Times New Roman"/>
          <w:szCs w:val="28"/>
        </w:rPr>
        <w:t>2. BGH được mời tham gia các Hội nghị định kỳ của BCH Công đoàn để thông báo những chủ trương công tác lớn của ngành và góp ý kiến cho hoạt động Công đoàn.</w:t>
      </w:r>
    </w:p>
    <w:p>
      <w:pPr>
        <w:spacing w:before="30" w:after="0" w:line="216" w:lineRule="atLeast"/>
        <w:ind w:firstLine="600"/>
        <w:jc w:val="both"/>
        <w:rPr>
          <w:rFonts w:eastAsia="Times New Roman" w:cs="Times New Roman"/>
          <w:szCs w:val="28"/>
        </w:rPr>
      </w:pPr>
      <w:r>
        <w:rPr>
          <w:rFonts w:eastAsia="Times New Roman" w:cs="Times New Roman"/>
          <w:szCs w:val="28"/>
        </w:rPr>
        <w:t>3. Khi giải quyết những vấn đề liên quan đến quyền, nghĩa vụ, lợi ích của CB-GV-VC-LĐ thì BGH phải bàn bạc,trao đổi với Công đoàn trước khi quyết định để đảm bảo các vấn đề giải quyết được dân chủ, công khai, công bằng và xác đáng.</w:t>
      </w:r>
    </w:p>
    <w:p>
      <w:pPr>
        <w:spacing w:before="30" w:after="0" w:line="216" w:lineRule="atLeast"/>
        <w:ind w:firstLine="600"/>
        <w:jc w:val="both"/>
        <w:rPr>
          <w:rFonts w:eastAsia="Times New Roman" w:cs="Times New Roman"/>
          <w:szCs w:val="28"/>
        </w:rPr>
      </w:pPr>
      <w:r>
        <w:rPr>
          <w:rFonts w:eastAsia="Times New Roman" w:cs="Times New Roman"/>
          <w:b/>
          <w:bCs/>
          <w:szCs w:val="28"/>
        </w:rPr>
        <w:t>V. Tổ chức thực hiện:</w:t>
      </w:r>
    </w:p>
    <w:p>
      <w:pPr>
        <w:spacing w:before="30" w:after="0" w:line="216" w:lineRule="atLeast"/>
        <w:ind w:firstLine="600"/>
        <w:jc w:val="both"/>
        <w:rPr>
          <w:rFonts w:eastAsia="Times New Roman" w:cs="Times New Roman"/>
          <w:szCs w:val="28"/>
        </w:rPr>
      </w:pPr>
      <w:r>
        <w:rPr>
          <w:rFonts w:eastAsia="Times New Roman" w:cs="Times New Roman"/>
          <w:szCs w:val="28"/>
        </w:rPr>
        <w:t>Quy chế này được phổ biến rộng rãi đến toàn thể CB-GV-VC-LĐ và đăng tải trên bảng thông tin của nhà trường. Quy chế có thể được sửa đổi cho phù hợp với tình hình đơn vị khi được bàn bạc, thống nhất giữa chính quyền và BCH Công đoàn./.</w:t>
      </w:r>
    </w:p>
    <w:tbl>
      <w:tblPr>
        <w:tblW w:w="0" w:type="auto"/>
        <w:jc w:val="center"/>
        <w:tblCellMar>
          <w:left w:w="0" w:type="dxa"/>
          <w:right w:w="0" w:type="dxa"/>
        </w:tblCellMar>
        <w:tblLook w:val="04A0"/>
      </w:tblPr>
      <w:tblGrid>
        <w:gridCol w:w="4785"/>
        <w:gridCol w:w="4786"/>
      </w:tblGrid>
      <w:tr>
        <w:trPr>
          <w:jc w:val="center"/>
        </w:trPr>
        <w:tc>
          <w:tcPr>
            <w:tcW w:w="4785" w:type="dxa"/>
            <w:tcMar>
              <w:top w:w="0" w:type="dxa"/>
              <w:left w:w="108" w:type="dxa"/>
              <w:bottom w:w="0" w:type="dxa"/>
              <w:right w:w="108" w:type="dxa"/>
            </w:tcMar>
            <w:hideMark/>
          </w:tcPr>
          <w:p>
            <w:pPr>
              <w:spacing w:after="0" w:line="240" w:lineRule="auto"/>
              <w:jc w:val="center"/>
              <w:rPr>
                <w:rFonts w:eastAsia="Times New Roman" w:cs="Times New Roman"/>
                <w:szCs w:val="28"/>
              </w:rPr>
            </w:pPr>
            <w:r>
              <w:rPr>
                <w:rFonts w:eastAsia="Times New Roman" w:cs="Times New Roman"/>
                <w:b/>
                <w:bCs/>
                <w:szCs w:val="28"/>
              </w:rPr>
              <w:t> </w:t>
            </w:r>
          </w:p>
          <w:p>
            <w:pPr>
              <w:spacing w:after="0" w:line="240" w:lineRule="auto"/>
              <w:jc w:val="center"/>
              <w:rPr>
                <w:rFonts w:eastAsia="Times New Roman" w:cs="Times New Roman"/>
                <w:szCs w:val="28"/>
              </w:rPr>
            </w:pPr>
            <w:r>
              <w:rPr>
                <w:rFonts w:eastAsia="Times New Roman" w:cs="Times New Roman"/>
                <w:b/>
                <w:bCs/>
                <w:szCs w:val="28"/>
              </w:rPr>
              <w:t>T/M BCH CÔNG ĐOÀN CƠ SỞ</w:t>
            </w:r>
          </w:p>
          <w:p>
            <w:pPr>
              <w:spacing w:after="0" w:line="240" w:lineRule="auto"/>
              <w:jc w:val="center"/>
              <w:rPr>
                <w:rFonts w:eastAsia="Times New Roman" w:cs="Times New Roman"/>
                <w:szCs w:val="28"/>
              </w:rPr>
            </w:pPr>
            <w:r>
              <w:rPr>
                <w:rFonts w:eastAsia="Times New Roman" w:cs="Times New Roman"/>
                <w:b/>
                <w:bCs/>
                <w:szCs w:val="28"/>
              </w:rPr>
              <w:t>CHỦ TỊCH</w:t>
            </w:r>
            <w:r>
              <w:rPr>
                <w:rFonts w:eastAsia="Times New Roman" w:cs="Times New Roman"/>
                <w:b/>
                <w:bCs/>
                <w:szCs w:val="28"/>
              </w:rPr>
              <w:br/>
            </w:r>
          </w:p>
        </w:tc>
        <w:tc>
          <w:tcPr>
            <w:tcW w:w="4786" w:type="dxa"/>
            <w:tcMar>
              <w:top w:w="0" w:type="dxa"/>
              <w:left w:w="108" w:type="dxa"/>
              <w:bottom w:w="0" w:type="dxa"/>
              <w:right w:w="108" w:type="dxa"/>
            </w:tcMar>
            <w:hideMark/>
          </w:tcPr>
          <w:p>
            <w:pPr>
              <w:shd w:val="clear" w:color="auto" w:fill="FFFFFF"/>
              <w:spacing w:after="0" w:line="240" w:lineRule="auto"/>
              <w:jc w:val="center"/>
              <w:rPr>
                <w:rFonts w:ascii="Arial" w:eastAsia="Times New Roman" w:hAnsi="Arial" w:cs="Arial"/>
                <w:b/>
                <w:bCs/>
                <w:color w:val="000000"/>
                <w:szCs w:val="28"/>
              </w:rPr>
            </w:pPr>
          </w:p>
          <w:p>
            <w:pPr>
              <w:shd w:val="clear" w:color="auto" w:fill="FFFFFF"/>
              <w:spacing w:after="0" w:line="240" w:lineRule="auto"/>
              <w:jc w:val="center"/>
              <w:rPr>
                <w:rFonts w:eastAsia="Times New Roman" w:cs="Times New Roman"/>
                <w:color w:val="000000"/>
                <w:szCs w:val="28"/>
              </w:rPr>
            </w:pPr>
            <w:r>
              <w:rPr>
                <w:rFonts w:eastAsia="Times New Roman" w:cs="Times New Roman"/>
                <w:b/>
                <w:bCs/>
                <w:color w:val="000000"/>
                <w:szCs w:val="28"/>
              </w:rPr>
              <w:t>T/M BAN GIÁM HIỆU </w:t>
            </w:r>
          </w:p>
          <w:p>
            <w:pPr>
              <w:shd w:val="clear" w:color="auto" w:fill="FFFFFF"/>
              <w:spacing w:after="0" w:line="240" w:lineRule="auto"/>
              <w:jc w:val="center"/>
              <w:rPr>
                <w:rFonts w:eastAsia="Times New Roman" w:cs="Times New Roman"/>
                <w:color w:val="000000"/>
                <w:szCs w:val="28"/>
              </w:rPr>
            </w:pPr>
            <w:r>
              <w:rPr>
                <w:rFonts w:eastAsia="Times New Roman" w:cs="Times New Roman"/>
                <w:b/>
                <w:bCs/>
                <w:color w:val="000000"/>
                <w:szCs w:val="28"/>
              </w:rPr>
              <w:t>HIỆU TRƯỞNG</w:t>
            </w:r>
            <w:r>
              <w:rPr>
                <w:rFonts w:eastAsia="Times New Roman" w:cs="Times New Roman"/>
                <w:b/>
                <w:bCs/>
                <w:color w:val="000000"/>
                <w:szCs w:val="28"/>
              </w:rPr>
              <w:br/>
            </w:r>
          </w:p>
          <w:p>
            <w:pPr>
              <w:shd w:val="clear" w:color="auto" w:fill="FFFFFF"/>
              <w:spacing w:after="0" w:line="240" w:lineRule="auto"/>
              <w:jc w:val="center"/>
              <w:rPr>
                <w:rFonts w:eastAsia="Times New Roman" w:cs="Times New Roman"/>
                <w:color w:val="000000"/>
                <w:szCs w:val="28"/>
              </w:rPr>
            </w:pPr>
            <w:r>
              <w:rPr>
                <w:rFonts w:eastAsia="Times New Roman" w:cs="Times New Roman"/>
                <w:color w:val="000000"/>
                <w:szCs w:val="28"/>
              </w:rPr>
              <w:t> </w:t>
            </w:r>
          </w:p>
          <w:p>
            <w:pPr>
              <w:shd w:val="clear" w:color="auto" w:fill="FFFFFF"/>
              <w:spacing w:after="0" w:line="240" w:lineRule="auto"/>
              <w:jc w:val="center"/>
              <w:rPr>
                <w:rFonts w:ascii="Arial" w:eastAsia="Times New Roman" w:hAnsi="Arial" w:cs="Arial"/>
                <w:color w:val="000000"/>
                <w:szCs w:val="28"/>
              </w:rPr>
            </w:pPr>
            <w:r>
              <w:rPr>
                <w:rFonts w:ascii="Arial" w:eastAsia="Times New Roman" w:hAnsi="Arial" w:cs="Arial"/>
                <w:color w:val="000000"/>
                <w:szCs w:val="28"/>
              </w:rPr>
              <w:t> </w:t>
            </w:r>
          </w:p>
          <w:p>
            <w:pPr>
              <w:shd w:val="clear" w:color="auto" w:fill="FFFFFF"/>
              <w:spacing w:after="0" w:line="240" w:lineRule="auto"/>
              <w:jc w:val="center"/>
              <w:rPr>
                <w:rFonts w:ascii="Arial" w:eastAsia="Times New Roman" w:hAnsi="Arial" w:cs="Arial"/>
                <w:color w:val="000000"/>
                <w:szCs w:val="28"/>
              </w:rPr>
            </w:pPr>
            <w:r>
              <w:rPr>
                <w:rFonts w:ascii="Arial" w:eastAsia="Times New Roman" w:hAnsi="Arial" w:cs="Arial"/>
                <w:color w:val="000000"/>
                <w:szCs w:val="28"/>
              </w:rPr>
              <w:t> </w:t>
            </w:r>
          </w:p>
          <w:p>
            <w:pPr>
              <w:spacing w:after="0" w:line="240" w:lineRule="auto"/>
              <w:rPr>
                <w:rFonts w:eastAsia="Times New Roman" w:cs="Times New Roman"/>
                <w:szCs w:val="28"/>
              </w:rPr>
            </w:pPr>
          </w:p>
        </w:tc>
      </w:tr>
    </w:tbl>
    <w:p>
      <w:pPr>
        <w:tabs>
          <w:tab w:val="left" w:pos="7575"/>
        </w:tabs>
        <w:rPr>
          <w:b/>
          <w:szCs w:val="28"/>
        </w:rPr>
      </w:pPr>
      <w:r>
        <w:rPr>
          <w:szCs w:val="28"/>
        </w:rPr>
        <w:lastRenderedPageBreak/>
        <w:t xml:space="preserve">                                 </w:t>
      </w:r>
      <w:r>
        <w:rPr>
          <w:b/>
          <w:szCs w:val="28"/>
        </w:rPr>
        <w:t>Hà Thị Huệ                                 Nguyễn Hồng Quảng</w:t>
      </w:r>
    </w:p>
    <w:sectPr>
      <w:pgSz w:w="12240" w:h="15840"/>
      <w:pgMar w:top="993" w:right="900" w:bottom="28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defaultTabStop w:val="720"/>
  <w:characterSpacingControl w:val="doNotCompress"/>
  <w:footnotePr>
    <w:footnote w:id="-1"/>
    <w:footnote w:id="0"/>
  </w:footnotePr>
  <w:endnotePr>
    <w:endnote w:id="-1"/>
    <w:endnote w:id="0"/>
  </w:endnotePr>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Pr>
      <w:b/>
      <w:bCs/>
    </w:rPr>
  </w:style>
  <w:style w:type="character" w:customStyle="1" w:styleId="apple-converted-space">
    <w:name w:val="apple-converted-space"/>
    <w:basedOn w:val="DefaultParagraphFont"/>
  </w:style>
  <w:style w:type="character" w:styleId="Emphasis">
    <w:name w:val="Emphasis"/>
    <w:basedOn w:val="DefaultParagraphFont"/>
    <w:qFormat/>
    <w:rPr>
      <w:i/>
      <w:iCs/>
    </w:rPr>
  </w:style>
  <w:style w:type="character" w:customStyle="1" w:styleId="Heading1Char">
    <w:name w:val="Heading 1 Char"/>
    <w:basedOn w:val="DefaultParagraphFont"/>
    <w:link w:val="Heading1"/>
    <w:uiPriority w:val="9"/>
    <w:rPr>
      <w:rFonts w:eastAsia="Times New Roman" w:cs="Times New Roman"/>
      <w:b/>
      <w:bCs/>
      <w:kern w:val="36"/>
      <w:sz w:val="48"/>
      <w:szCs w:val="48"/>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s>
</file>

<file path=word/webSettings.xml><?xml version="1.0" encoding="utf-8"?>
<w:webSettings xmlns:r="http://schemas.openxmlformats.org/officeDocument/2006/relationships" xmlns:w="http://schemas.openxmlformats.org/wordprocessingml/2006/main">
  <w:divs>
    <w:div w:id="476802452">
      <w:bodyDiv w:val="1"/>
      <w:marLeft w:val="0"/>
      <w:marRight w:val="0"/>
      <w:marTop w:val="0"/>
      <w:marBottom w:val="0"/>
      <w:divBdr>
        <w:top w:val="none" w:sz="0" w:space="0" w:color="auto"/>
        <w:left w:val="none" w:sz="0" w:space="0" w:color="auto"/>
        <w:bottom w:val="none" w:sz="0" w:space="0" w:color="auto"/>
        <w:right w:val="none" w:sz="0" w:space="0" w:color="auto"/>
      </w:divBdr>
    </w:div>
    <w:div w:id="1225335411">
      <w:bodyDiv w:val="1"/>
      <w:marLeft w:val="0"/>
      <w:marRight w:val="0"/>
      <w:marTop w:val="0"/>
      <w:marBottom w:val="0"/>
      <w:divBdr>
        <w:top w:val="none" w:sz="0" w:space="0" w:color="auto"/>
        <w:left w:val="none" w:sz="0" w:space="0" w:color="auto"/>
        <w:bottom w:val="none" w:sz="0" w:space="0" w:color="auto"/>
        <w:right w:val="none" w:sz="0" w:space="0" w:color="auto"/>
      </w:divBdr>
    </w:div>
    <w:div w:id="1494100532">
      <w:bodyDiv w:val="1"/>
      <w:marLeft w:val="0"/>
      <w:marRight w:val="0"/>
      <w:marTop w:val="0"/>
      <w:marBottom w:val="0"/>
      <w:divBdr>
        <w:top w:val="none" w:sz="0" w:space="0" w:color="auto"/>
        <w:left w:val="none" w:sz="0" w:space="0" w:color="auto"/>
        <w:bottom w:val="none" w:sz="0" w:space="0" w:color="auto"/>
        <w:right w:val="none" w:sz="0" w:space="0" w:color="auto"/>
      </w:divBdr>
      <w:divsChild>
        <w:div w:id="1037773213">
          <w:marLeft w:val="300"/>
          <w:marRight w:val="0"/>
          <w:marTop w:val="300"/>
          <w:marBottom w:val="300"/>
          <w:divBdr>
            <w:top w:val="none" w:sz="0" w:space="0" w:color="auto"/>
            <w:left w:val="none" w:sz="0" w:space="0" w:color="auto"/>
            <w:bottom w:val="none" w:sz="0" w:space="0" w:color="auto"/>
            <w:right w:val="none" w:sz="0" w:space="0" w:color="auto"/>
          </w:divBdr>
        </w:div>
        <w:div w:id="1965307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 VS8 X64</dc:creator>
  <cp:lastModifiedBy>ndc-quynh</cp:lastModifiedBy>
  <cp:revision>24</cp:revision>
  <cp:lastPrinted>2017-10-02T07:25:00Z</cp:lastPrinted>
  <dcterms:created xsi:type="dcterms:W3CDTF">2016-09-12T02:32:00Z</dcterms:created>
  <dcterms:modified xsi:type="dcterms:W3CDTF">2021-10-23T00:16:00Z</dcterms:modified>
</cp:coreProperties>
</file>