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B11" w:rsidRPr="00877B11" w:rsidRDefault="00877B11" w:rsidP="00877B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B11">
        <w:rPr>
          <w:rFonts w:ascii="Times New Roman" w:hAnsi="Times New Roman" w:cs="Times New Roman"/>
          <w:b/>
          <w:sz w:val="28"/>
          <w:szCs w:val="28"/>
        </w:rPr>
        <w:t>KẾ HOẠCH TUẦN 1: THÁNG 8 (tuần 1)</w:t>
      </w:r>
    </w:p>
    <w:p w:rsidR="00877B11" w:rsidRPr="00877B11" w:rsidRDefault="00877B11" w:rsidP="00877B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B11">
        <w:rPr>
          <w:rFonts w:ascii="Times New Roman" w:hAnsi="Times New Roman" w:cs="Times New Roman"/>
          <w:b/>
          <w:sz w:val="28"/>
          <w:szCs w:val="28"/>
        </w:rPr>
        <w:t>NĂM HỌC 2018-2019   -    TỪ 20/8/</w:t>
      </w:r>
      <w:proofErr w:type="gramStart"/>
      <w:r w:rsidRPr="00877B11">
        <w:rPr>
          <w:rFonts w:ascii="Times New Roman" w:hAnsi="Times New Roman" w:cs="Times New Roman"/>
          <w:b/>
          <w:sz w:val="28"/>
          <w:szCs w:val="28"/>
        </w:rPr>
        <w:t>2018  ĐẾN</w:t>
      </w:r>
      <w:proofErr w:type="gramEnd"/>
      <w:r w:rsidRPr="00877B11">
        <w:rPr>
          <w:rFonts w:ascii="Times New Roman" w:hAnsi="Times New Roman" w:cs="Times New Roman"/>
          <w:b/>
          <w:sz w:val="28"/>
          <w:szCs w:val="28"/>
        </w:rPr>
        <w:t xml:space="preserve"> 26/8/2018</w:t>
      </w:r>
    </w:p>
    <w:p w:rsidR="00877B11" w:rsidRPr="00877B11" w:rsidRDefault="00877B11" w:rsidP="00877B11">
      <w:pPr>
        <w:rPr>
          <w:rFonts w:ascii="Times New Roman" w:hAnsi="Times New Roman" w:cs="Times New Roman"/>
          <w:b/>
          <w:sz w:val="28"/>
          <w:szCs w:val="28"/>
        </w:rPr>
      </w:pPr>
      <w:r w:rsidRPr="00877B11">
        <w:rPr>
          <w:rFonts w:ascii="Times New Roman" w:hAnsi="Times New Roman" w:cs="Times New Roman"/>
          <w:b/>
          <w:sz w:val="28"/>
          <w:szCs w:val="28"/>
        </w:rPr>
        <w:t>I. Nhật ký công việc:</w:t>
      </w:r>
    </w:p>
    <w:tbl>
      <w:tblPr>
        <w:tblW w:w="9231" w:type="dxa"/>
        <w:jc w:val="center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2"/>
        <w:gridCol w:w="769"/>
        <w:gridCol w:w="5326"/>
        <w:gridCol w:w="1224"/>
        <w:gridCol w:w="1040"/>
      </w:tblGrid>
      <w:tr w:rsidR="00877B11" w:rsidRPr="00877B11" w:rsidTr="00877B11">
        <w:trPr>
          <w:jc w:val="center"/>
        </w:trPr>
        <w:tc>
          <w:tcPr>
            <w:tcW w:w="872" w:type="dxa"/>
          </w:tcPr>
          <w:p w:rsidR="00877B11" w:rsidRPr="00877B11" w:rsidRDefault="00877B11" w:rsidP="00EF0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B11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</w:p>
        </w:tc>
        <w:tc>
          <w:tcPr>
            <w:tcW w:w="769" w:type="dxa"/>
          </w:tcPr>
          <w:p w:rsidR="00877B11" w:rsidRPr="00877B11" w:rsidRDefault="00877B11" w:rsidP="00EF0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B11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</w:p>
        </w:tc>
        <w:tc>
          <w:tcPr>
            <w:tcW w:w="5326" w:type="dxa"/>
          </w:tcPr>
          <w:p w:rsidR="00877B11" w:rsidRPr="00877B11" w:rsidRDefault="00877B11" w:rsidP="00EF0B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877B11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1224" w:type="dxa"/>
          </w:tcPr>
          <w:p w:rsidR="00877B11" w:rsidRPr="00877B11" w:rsidRDefault="00877B11" w:rsidP="00EF0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B11">
              <w:rPr>
                <w:rFonts w:ascii="Times New Roman" w:hAnsi="Times New Roman" w:cs="Times New Roman"/>
                <w:sz w:val="28"/>
                <w:szCs w:val="28"/>
              </w:rPr>
              <w:t>LL tham gia</w:t>
            </w:r>
          </w:p>
        </w:tc>
        <w:tc>
          <w:tcPr>
            <w:tcW w:w="1040" w:type="dxa"/>
          </w:tcPr>
          <w:p w:rsidR="00877B11" w:rsidRPr="00877B11" w:rsidRDefault="00877B11" w:rsidP="00EF0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B11">
              <w:rPr>
                <w:rFonts w:ascii="Times New Roman" w:hAnsi="Times New Roman" w:cs="Times New Roman"/>
                <w:sz w:val="28"/>
                <w:szCs w:val="28"/>
              </w:rPr>
              <w:t>B.pháp</w:t>
            </w:r>
          </w:p>
        </w:tc>
      </w:tr>
      <w:tr w:rsidR="00877B11" w:rsidRPr="00877B11" w:rsidTr="00877B11">
        <w:trPr>
          <w:jc w:val="center"/>
        </w:trPr>
        <w:tc>
          <w:tcPr>
            <w:tcW w:w="872" w:type="dxa"/>
            <w:vAlign w:val="center"/>
          </w:tcPr>
          <w:p w:rsidR="00877B11" w:rsidRPr="00877B11" w:rsidRDefault="00877B11" w:rsidP="00EF0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B11">
              <w:rPr>
                <w:rFonts w:ascii="Times New Roman" w:hAnsi="Times New Roman" w:cs="Times New Roman"/>
                <w:sz w:val="28"/>
                <w:szCs w:val="28"/>
              </w:rPr>
              <w:t>20/8</w:t>
            </w:r>
          </w:p>
        </w:tc>
        <w:tc>
          <w:tcPr>
            <w:tcW w:w="769" w:type="dxa"/>
            <w:vAlign w:val="center"/>
          </w:tcPr>
          <w:p w:rsidR="00877B11" w:rsidRPr="00877B11" w:rsidRDefault="00877B11" w:rsidP="00EF0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B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26" w:type="dxa"/>
          </w:tcPr>
          <w:p w:rsidR="00877B11" w:rsidRPr="00877B11" w:rsidRDefault="00877B11" w:rsidP="00EF0B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B11">
              <w:rPr>
                <w:rFonts w:ascii="Times New Roman" w:hAnsi="Times New Roman" w:cs="Times New Roman"/>
                <w:sz w:val="28"/>
                <w:szCs w:val="28"/>
              </w:rPr>
              <w:t xml:space="preserve">Ổn định và phân chia lớp học, tổ chức buổi học đầu tiên của năm học 2018 - 2019, Tuyên truyền phòng chống TNGT </w:t>
            </w:r>
          </w:p>
        </w:tc>
        <w:tc>
          <w:tcPr>
            <w:tcW w:w="1224" w:type="dxa"/>
          </w:tcPr>
          <w:p w:rsidR="00877B11" w:rsidRPr="00877B11" w:rsidRDefault="00877B11" w:rsidP="00EF0BDE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877B1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BGH.</w:t>
            </w:r>
          </w:p>
        </w:tc>
        <w:tc>
          <w:tcPr>
            <w:tcW w:w="1040" w:type="dxa"/>
          </w:tcPr>
          <w:p w:rsidR="00877B11" w:rsidRPr="00877B11" w:rsidRDefault="00877B11" w:rsidP="00EF0B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7B11" w:rsidRPr="00877B11" w:rsidTr="00877B11">
        <w:trPr>
          <w:jc w:val="center"/>
        </w:trPr>
        <w:tc>
          <w:tcPr>
            <w:tcW w:w="872" w:type="dxa"/>
            <w:vAlign w:val="center"/>
          </w:tcPr>
          <w:p w:rsidR="00877B11" w:rsidRPr="00877B11" w:rsidRDefault="00877B11" w:rsidP="00EF0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B11">
              <w:rPr>
                <w:rFonts w:ascii="Times New Roman" w:hAnsi="Times New Roman" w:cs="Times New Roman"/>
                <w:sz w:val="28"/>
                <w:szCs w:val="28"/>
              </w:rPr>
              <w:t>21/8</w:t>
            </w:r>
          </w:p>
        </w:tc>
        <w:tc>
          <w:tcPr>
            <w:tcW w:w="769" w:type="dxa"/>
            <w:vAlign w:val="center"/>
          </w:tcPr>
          <w:p w:rsidR="00877B11" w:rsidRPr="00877B11" w:rsidRDefault="00877B11" w:rsidP="00EF0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B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26" w:type="dxa"/>
          </w:tcPr>
          <w:p w:rsidR="00877B11" w:rsidRPr="00877B11" w:rsidRDefault="00877B11" w:rsidP="00EF0B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B1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877B11">
              <w:rPr>
                <w:rFonts w:ascii="Times New Roman" w:hAnsi="Times New Roman" w:cs="Times New Roman"/>
                <w:sz w:val="28"/>
                <w:szCs w:val="28"/>
              </w:rPr>
              <w:t>Họp BGH</w:t>
            </w:r>
          </w:p>
        </w:tc>
        <w:tc>
          <w:tcPr>
            <w:tcW w:w="1224" w:type="dxa"/>
          </w:tcPr>
          <w:p w:rsidR="00877B11" w:rsidRPr="00877B11" w:rsidRDefault="00877B11" w:rsidP="00EF0B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B11">
              <w:rPr>
                <w:rFonts w:ascii="Times New Roman" w:hAnsi="Times New Roman" w:cs="Times New Roman"/>
                <w:sz w:val="28"/>
                <w:szCs w:val="28"/>
              </w:rPr>
              <w:t>BGH,</w:t>
            </w:r>
          </w:p>
        </w:tc>
        <w:tc>
          <w:tcPr>
            <w:tcW w:w="1040" w:type="dxa"/>
          </w:tcPr>
          <w:p w:rsidR="00877B11" w:rsidRPr="00877B11" w:rsidRDefault="00877B11" w:rsidP="00EF0B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7B11" w:rsidRPr="00877B11" w:rsidTr="00877B11">
        <w:trPr>
          <w:jc w:val="center"/>
        </w:trPr>
        <w:tc>
          <w:tcPr>
            <w:tcW w:w="872" w:type="dxa"/>
            <w:vAlign w:val="center"/>
          </w:tcPr>
          <w:p w:rsidR="00877B11" w:rsidRPr="00877B11" w:rsidRDefault="00877B11" w:rsidP="00EF0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B11">
              <w:rPr>
                <w:rFonts w:ascii="Times New Roman" w:hAnsi="Times New Roman" w:cs="Times New Roman"/>
                <w:sz w:val="28"/>
                <w:szCs w:val="28"/>
              </w:rPr>
              <w:t>22/8</w:t>
            </w:r>
          </w:p>
        </w:tc>
        <w:tc>
          <w:tcPr>
            <w:tcW w:w="769" w:type="dxa"/>
            <w:vAlign w:val="center"/>
          </w:tcPr>
          <w:p w:rsidR="00877B11" w:rsidRPr="00877B11" w:rsidRDefault="00877B11" w:rsidP="00EF0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B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26" w:type="dxa"/>
          </w:tcPr>
          <w:p w:rsidR="00877B11" w:rsidRPr="00877B11" w:rsidRDefault="00877B11" w:rsidP="00EF0B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B11">
              <w:rPr>
                <w:rFonts w:ascii="Times New Roman" w:hAnsi="Times New Roman" w:cs="Times New Roman"/>
                <w:sz w:val="28"/>
                <w:szCs w:val="28"/>
              </w:rPr>
              <w:t>Tổ chức dạy-học bình thường</w:t>
            </w:r>
          </w:p>
        </w:tc>
        <w:tc>
          <w:tcPr>
            <w:tcW w:w="1224" w:type="dxa"/>
          </w:tcPr>
          <w:p w:rsidR="00877B11" w:rsidRPr="00877B11" w:rsidRDefault="00877B11" w:rsidP="00EF0B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B11">
              <w:rPr>
                <w:rFonts w:ascii="Times New Roman" w:hAnsi="Times New Roman" w:cs="Times New Roman"/>
                <w:sz w:val="28"/>
                <w:szCs w:val="28"/>
              </w:rPr>
              <w:t>GV TB,BGH,</w:t>
            </w:r>
            <w:r w:rsidRPr="00877B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</w:p>
        </w:tc>
        <w:tc>
          <w:tcPr>
            <w:tcW w:w="1040" w:type="dxa"/>
          </w:tcPr>
          <w:p w:rsidR="00877B11" w:rsidRPr="00877B11" w:rsidRDefault="00877B11" w:rsidP="00EF0B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7B11" w:rsidRPr="00877B11" w:rsidTr="00877B11">
        <w:trPr>
          <w:jc w:val="center"/>
        </w:trPr>
        <w:tc>
          <w:tcPr>
            <w:tcW w:w="872" w:type="dxa"/>
            <w:vAlign w:val="center"/>
          </w:tcPr>
          <w:p w:rsidR="00877B11" w:rsidRPr="00877B11" w:rsidRDefault="00877B11" w:rsidP="00EF0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B11">
              <w:rPr>
                <w:rFonts w:ascii="Times New Roman" w:hAnsi="Times New Roman" w:cs="Times New Roman"/>
                <w:sz w:val="28"/>
                <w:szCs w:val="28"/>
              </w:rPr>
              <w:t>23/8</w:t>
            </w:r>
          </w:p>
        </w:tc>
        <w:tc>
          <w:tcPr>
            <w:tcW w:w="769" w:type="dxa"/>
            <w:vAlign w:val="center"/>
          </w:tcPr>
          <w:p w:rsidR="00877B11" w:rsidRPr="00877B11" w:rsidRDefault="00877B11" w:rsidP="00EF0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B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26" w:type="dxa"/>
          </w:tcPr>
          <w:p w:rsidR="00877B11" w:rsidRPr="00877B11" w:rsidRDefault="00877B11" w:rsidP="00EF0B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B11">
              <w:rPr>
                <w:rFonts w:ascii="Times New Roman" w:hAnsi="Times New Roman" w:cs="Times New Roman"/>
                <w:sz w:val="28"/>
                <w:szCs w:val="28"/>
              </w:rPr>
              <w:t>Họp Hội đồng triển khai các công văn chỉ đạo của ngành.</w:t>
            </w:r>
          </w:p>
        </w:tc>
        <w:tc>
          <w:tcPr>
            <w:tcW w:w="1224" w:type="dxa"/>
          </w:tcPr>
          <w:p w:rsidR="00877B11" w:rsidRPr="00877B11" w:rsidRDefault="00877B11" w:rsidP="00EF0B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B11">
              <w:rPr>
                <w:rFonts w:ascii="Times New Roman" w:hAnsi="Times New Roman" w:cs="Times New Roman"/>
                <w:sz w:val="28"/>
                <w:szCs w:val="28"/>
              </w:rPr>
              <w:t>BGH, CTCĐ</w:t>
            </w:r>
          </w:p>
        </w:tc>
        <w:tc>
          <w:tcPr>
            <w:tcW w:w="1040" w:type="dxa"/>
          </w:tcPr>
          <w:p w:rsidR="00877B11" w:rsidRPr="00877B11" w:rsidRDefault="00877B11" w:rsidP="00EF0B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7B11" w:rsidRPr="00877B11" w:rsidTr="00877B11">
        <w:trPr>
          <w:jc w:val="center"/>
        </w:trPr>
        <w:tc>
          <w:tcPr>
            <w:tcW w:w="872" w:type="dxa"/>
            <w:vAlign w:val="center"/>
          </w:tcPr>
          <w:p w:rsidR="00877B11" w:rsidRPr="00877B11" w:rsidRDefault="00877B11" w:rsidP="00EF0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B11">
              <w:rPr>
                <w:rFonts w:ascii="Times New Roman" w:hAnsi="Times New Roman" w:cs="Times New Roman"/>
                <w:sz w:val="28"/>
                <w:szCs w:val="28"/>
              </w:rPr>
              <w:t>24/8</w:t>
            </w:r>
          </w:p>
        </w:tc>
        <w:tc>
          <w:tcPr>
            <w:tcW w:w="769" w:type="dxa"/>
            <w:vAlign w:val="center"/>
          </w:tcPr>
          <w:p w:rsidR="00877B11" w:rsidRPr="00877B11" w:rsidRDefault="00877B11" w:rsidP="00EF0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B1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26" w:type="dxa"/>
          </w:tcPr>
          <w:p w:rsidR="00877B11" w:rsidRPr="00877B11" w:rsidRDefault="00877B11" w:rsidP="00EF0B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B11">
              <w:rPr>
                <w:rFonts w:ascii="Times New Roman" w:hAnsi="Times New Roman" w:cs="Times New Roman"/>
                <w:sz w:val="28"/>
                <w:szCs w:val="28"/>
              </w:rPr>
              <w:t>Tổ chức dạy-học bình thường. Lao động tổng vệ sinh trong ngoài nhà trường</w:t>
            </w:r>
          </w:p>
        </w:tc>
        <w:tc>
          <w:tcPr>
            <w:tcW w:w="1224" w:type="dxa"/>
          </w:tcPr>
          <w:p w:rsidR="00877B11" w:rsidRPr="00877B11" w:rsidRDefault="00877B11" w:rsidP="00EF0B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B11">
              <w:rPr>
                <w:rFonts w:ascii="Times New Roman" w:hAnsi="Times New Roman" w:cs="Times New Roman"/>
                <w:sz w:val="28"/>
                <w:szCs w:val="28"/>
              </w:rPr>
              <w:t>BGH, ban LĐ</w:t>
            </w:r>
          </w:p>
        </w:tc>
        <w:tc>
          <w:tcPr>
            <w:tcW w:w="1040" w:type="dxa"/>
          </w:tcPr>
          <w:p w:rsidR="00877B11" w:rsidRPr="00877B11" w:rsidRDefault="00877B11" w:rsidP="00EF0B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7B11" w:rsidRPr="00877B11" w:rsidTr="00877B11">
        <w:trPr>
          <w:jc w:val="center"/>
        </w:trPr>
        <w:tc>
          <w:tcPr>
            <w:tcW w:w="872" w:type="dxa"/>
            <w:vAlign w:val="center"/>
          </w:tcPr>
          <w:p w:rsidR="00877B11" w:rsidRPr="00877B11" w:rsidRDefault="00877B11" w:rsidP="00EF0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B11">
              <w:rPr>
                <w:rFonts w:ascii="Times New Roman" w:hAnsi="Times New Roman" w:cs="Times New Roman"/>
                <w:sz w:val="28"/>
                <w:szCs w:val="28"/>
              </w:rPr>
              <w:t>25/8</w:t>
            </w:r>
          </w:p>
        </w:tc>
        <w:tc>
          <w:tcPr>
            <w:tcW w:w="769" w:type="dxa"/>
            <w:vAlign w:val="center"/>
          </w:tcPr>
          <w:p w:rsidR="00877B11" w:rsidRPr="00877B11" w:rsidRDefault="00877B11" w:rsidP="00EF0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B1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26" w:type="dxa"/>
          </w:tcPr>
          <w:p w:rsidR="00877B11" w:rsidRPr="00877B11" w:rsidRDefault="00877B11" w:rsidP="00EF0B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B11">
              <w:rPr>
                <w:rFonts w:ascii="Times New Roman" w:hAnsi="Times New Roman" w:cs="Times New Roman"/>
                <w:sz w:val="28"/>
                <w:szCs w:val="28"/>
              </w:rPr>
              <w:t>Tổ chức dạy-học bình thường.</w:t>
            </w:r>
          </w:p>
        </w:tc>
        <w:tc>
          <w:tcPr>
            <w:tcW w:w="1224" w:type="dxa"/>
          </w:tcPr>
          <w:p w:rsidR="00877B11" w:rsidRPr="00877B11" w:rsidRDefault="00877B11" w:rsidP="00EF0B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B11">
              <w:rPr>
                <w:rFonts w:ascii="Times New Roman" w:hAnsi="Times New Roman" w:cs="Times New Roman"/>
                <w:sz w:val="28"/>
                <w:szCs w:val="28"/>
              </w:rPr>
              <w:t xml:space="preserve">BGH, </w:t>
            </w:r>
          </w:p>
        </w:tc>
        <w:tc>
          <w:tcPr>
            <w:tcW w:w="1040" w:type="dxa"/>
          </w:tcPr>
          <w:p w:rsidR="00877B11" w:rsidRPr="00877B11" w:rsidRDefault="00877B11" w:rsidP="00EF0B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7B11" w:rsidRPr="00877B11" w:rsidTr="00877B11">
        <w:trPr>
          <w:jc w:val="center"/>
        </w:trPr>
        <w:tc>
          <w:tcPr>
            <w:tcW w:w="872" w:type="dxa"/>
            <w:vAlign w:val="center"/>
          </w:tcPr>
          <w:p w:rsidR="00877B11" w:rsidRPr="00877B11" w:rsidRDefault="00877B11" w:rsidP="00EF0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B11">
              <w:rPr>
                <w:rFonts w:ascii="Times New Roman" w:hAnsi="Times New Roman" w:cs="Times New Roman"/>
                <w:sz w:val="28"/>
                <w:szCs w:val="28"/>
              </w:rPr>
              <w:t>26/8</w:t>
            </w:r>
          </w:p>
        </w:tc>
        <w:tc>
          <w:tcPr>
            <w:tcW w:w="769" w:type="dxa"/>
            <w:vAlign w:val="center"/>
          </w:tcPr>
          <w:p w:rsidR="00877B11" w:rsidRPr="00877B11" w:rsidRDefault="00877B11" w:rsidP="00EF0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B11">
              <w:rPr>
                <w:rFonts w:ascii="Times New Roman" w:hAnsi="Times New Roman" w:cs="Times New Roman"/>
                <w:sz w:val="28"/>
                <w:szCs w:val="28"/>
              </w:rPr>
              <w:t>CN</w:t>
            </w:r>
          </w:p>
        </w:tc>
        <w:tc>
          <w:tcPr>
            <w:tcW w:w="5326" w:type="dxa"/>
          </w:tcPr>
          <w:p w:rsidR="00877B11" w:rsidRPr="00877B11" w:rsidRDefault="00877B11" w:rsidP="00EF0B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877B11" w:rsidRPr="00877B11" w:rsidRDefault="00877B11" w:rsidP="00EF0B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0" w:type="dxa"/>
          </w:tcPr>
          <w:p w:rsidR="00877B11" w:rsidRPr="00877B11" w:rsidRDefault="00877B11" w:rsidP="00EF0B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7B11" w:rsidRPr="00877B11" w:rsidRDefault="00877B11" w:rsidP="00877B11">
      <w:pPr>
        <w:rPr>
          <w:rFonts w:ascii="Times New Roman" w:hAnsi="Times New Roman" w:cs="Times New Roman"/>
          <w:b/>
          <w:sz w:val="28"/>
          <w:szCs w:val="28"/>
        </w:rPr>
      </w:pPr>
      <w:r w:rsidRPr="00877B11">
        <w:rPr>
          <w:rFonts w:ascii="Times New Roman" w:hAnsi="Times New Roman" w:cs="Times New Roman"/>
          <w:b/>
          <w:sz w:val="28"/>
          <w:szCs w:val="28"/>
        </w:rPr>
        <w:t>II. Công việc đột xuất:</w:t>
      </w:r>
    </w:p>
    <w:p w:rsidR="00877B11" w:rsidRPr="00877B11" w:rsidRDefault="00877B11" w:rsidP="00877B11">
      <w:pPr>
        <w:jc w:val="both"/>
        <w:rPr>
          <w:rFonts w:ascii="Times New Roman" w:hAnsi="Times New Roman" w:cs="Times New Roman"/>
          <w:sz w:val="28"/>
          <w:szCs w:val="28"/>
        </w:rPr>
      </w:pPr>
      <w:r w:rsidRPr="00877B11">
        <w:rPr>
          <w:rFonts w:ascii="Times New Roman" w:hAnsi="Times New Roman" w:cs="Times New Roman"/>
          <w:b/>
          <w:sz w:val="28"/>
          <w:szCs w:val="28"/>
        </w:rPr>
        <w:t xml:space="preserve">III. Một số điều cần ghi chép lại: </w:t>
      </w:r>
    </w:p>
    <w:p w:rsidR="00877B11" w:rsidRPr="00877B11" w:rsidRDefault="00877B11" w:rsidP="00877B1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77B11">
        <w:rPr>
          <w:rFonts w:ascii="Times New Roman" w:hAnsi="Times New Roman" w:cs="Times New Roman"/>
          <w:b/>
          <w:sz w:val="28"/>
          <w:szCs w:val="28"/>
        </w:rPr>
        <w:t>IV. Nội dung giao ban của BGH:</w:t>
      </w:r>
    </w:p>
    <w:p w:rsidR="00877B11" w:rsidRPr="00877B11" w:rsidRDefault="00877B11" w:rsidP="00877B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7B11">
        <w:rPr>
          <w:rFonts w:ascii="Times New Roman" w:hAnsi="Times New Roman" w:cs="Times New Roman"/>
          <w:b/>
          <w:sz w:val="28"/>
          <w:szCs w:val="28"/>
        </w:rPr>
        <w:t>Đánh giá công tác chuẩn bị cho năm học mới:</w:t>
      </w:r>
    </w:p>
    <w:p w:rsidR="00877B11" w:rsidRPr="00877B11" w:rsidRDefault="00877B11" w:rsidP="00877B11">
      <w:pPr>
        <w:jc w:val="both"/>
        <w:rPr>
          <w:rFonts w:ascii="Times New Roman" w:hAnsi="Times New Roman" w:cs="Times New Roman"/>
          <w:sz w:val="28"/>
          <w:szCs w:val="28"/>
        </w:rPr>
      </w:pPr>
      <w:r w:rsidRPr="00877B11">
        <w:rPr>
          <w:rFonts w:ascii="Times New Roman" w:hAnsi="Times New Roman" w:cs="Times New Roman"/>
          <w:sz w:val="28"/>
          <w:szCs w:val="28"/>
        </w:rPr>
        <w:t xml:space="preserve">+ Phân công chuyên môn kịp thời, lên TKB đúng tiến độ, tổ chức học </w:t>
      </w:r>
      <w:proofErr w:type="gramStart"/>
      <w:r w:rsidRPr="00877B11">
        <w:rPr>
          <w:rFonts w:ascii="Times New Roman" w:hAnsi="Times New Roman" w:cs="Times New Roman"/>
          <w:sz w:val="28"/>
          <w:szCs w:val="28"/>
        </w:rPr>
        <w:t>theo</w:t>
      </w:r>
      <w:proofErr w:type="gramEnd"/>
      <w:r w:rsidRPr="00877B11">
        <w:rPr>
          <w:rFonts w:ascii="Times New Roman" w:hAnsi="Times New Roman" w:cs="Times New Roman"/>
          <w:sz w:val="28"/>
          <w:szCs w:val="28"/>
        </w:rPr>
        <w:t xml:space="preserve"> đúng sự chỉ đạo của Ngành.</w:t>
      </w:r>
    </w:p>
    <w:p w:rsidR="00877B11" w:rsidRPr="00877B11" w:rsidRDefault="00877B11" w:rsidP="00877B11">
      <w:pPr>
        <w:jc w:val="both"/>
        <w:rPr>
          <w:rFonts w:ascii="Times New Roman" w:hAnsi="Times New Roman" w:cs="Times New Roman"/>
          <w:sz w:val="28"/>
          <w:szCs w:val="28"/>
        </w:rPr>
      </w:pPr>
      <w:r w:rsidRPr="00877B11">
        <w:rPr>
          <w:rFonts w:ascii="Times New Roman" w:hAnsi="Times New Roman" w:cs="Times New Roman"/>
          <w:sz w:val="28"/>
          <w:szCs w:val="28"/>
        </w:rPr>
        <w:t xml:space="preserve">+ Mọi điều kiện chuẩn bị cho năm học mới đã đầy đủ, đảm bảo cho việc học trước 1 tuần </w:t>
      </w:r>
      <w:proofErr w:type="gramStart"/>
      <w:r w:rsidRPr="00877B11">
        <w:rPr>
          <w:rFonts w:ascii="Times New Roman" w:hAnsi="Times New Roman" w:cs="Times New Roman"/>
          <w:sz w:val="28"/>
          <w:szCs w:val="28"/>
        </w:rPr>
        <w:t>theo</w:t>
      </w:r>
      <w:proofErr w:type="gramEnd"/>
      <w:r w:rsidRPr="00877B11">
        <w:rPr>
          <w:rFonts w:ascii="Times New Roman" w:hAnsi="Times New Roman" w:cs="Times New Roman"/>
          <w:sz w:val="28"/>
          <w:szCs w:val="28"/>
        </w:rPr>
        <w:t xml:space="preserve"> đúng kế hoạch.</w:t>
      </w:r>
    </w:p>
    <w:p w:rsidR="00877B11" w:rsidRPr="00877B11" w:rsidRDefault="00877B11" w:rsidP="00877B11">
      <w:pPr>
        <w:jc w:val="both"/>
        <w:rPr>
          <w:rFonts w:ascii="Times New Roman" w:hAnsi="Times New Roman" w:cs="Times New Roman"/>
          <w:sz w:val="28"/>
          <w:szCs w:val="28"/>
        </w:rPr>
      </w:pPr>
      <w:r w:rsidRPr="00877B11">
        <w:rPr>
          <w:rFonts w:ascii="Times New Roman" w:hAnsi="Times New Roman" w:cs="Times New Roman"/>
          <w:sz w:val="28"/>
          <w:szCs w:val="28"/>
        </w:rPr>
        <w:t>+ Các bộ phận đã kịp thời đáp ứng cho việc dạy và học.</w:t>
      </w:r>
    </w:p>
    <w:p w:rsidR="00877B11" w:rsidRPr="00877B11" w:rsidRDefault="00877B11" w:rsidP="00877B11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877B11">
        <w:rPr>
          <w:rFonts w:ascii="Times New Roman" w:hAnsi="Times New Roman" w:cs="Times New Roman"/>
          <w:b/>
          <w:sz w:val="28"/>
          <w:szCs w:val="28"/>
        </w:rPr>
        <w:t xml:space="preserve">2. Kế hoạch tuần 1: </w:t>
      </w:r>
      <w:r w:rsidRPr="00877B11">
        <w:rPr>
          <w:rFonts w:ascii="Times New Roman" w:hAnsi="Times New Roman" w:cs="Times New Roman"/>
          <w:b/>
          <w:bCs/>
          <w:sz w:val="28"/>
          <w:szCs w:val="28"/>
          <w:lang w:val="fr-FR"/>
        </w:rPr>
        <w:t>Thống nhất lề lối làm việc:</w:t>
      </w:r>
      <w:r w:rsidRPr="00877B11">
        <w:rPr>
          <w:rFonts w:ascii="Times New Roman" w:hAnsi="Times New Roman" w:cs="Times New Roman"/>
          <w:sz w:val="28"/>
          <w:szCs w:val="28"/>
          <w:lang w:val="fr-FR"/>
        </w:rPr>
        <w:t xml:space="preserve">     </w:t>
      </w:r>
    </w:p>
    <w:p w:rsidR="00877B11" w:rsidRPr="00877B11" w:rsidRDefault="00877B11" w:rsidP="00877B11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877B11">
        <w:rPr>
          <w:rFonts w:ascii="Times New Roman" w:hAnsi="Times New Roman" w:cs="Times New Roman"/>
          <w:sz w:val="28"/>
          <w:szCs w:val="28"/>
          <w:lang w:val="fr-FR"/>
        </w:rPr>
        <w:t xml:space="preserve">    </w:t>
      </w:r>
      <w:r w:rsidRPr="00877B11">
        <w:rPr>
          <w:rFonts w:ascii="Times New Roman" w:hAnsi="Times New Roman" w:cs="Times New Roman"/>
          <w:sz w:val="28"/>
          <w:szCs w:val="28"/>
          <w:lang w:val="pt-BR"/>
        </w:rPr>
        <w:t xml:space="preserve">+ Thời gian học: </w:t>
      </w:r>
    </w:p>
    <w:p w:rsidR="00877B11" w:rsidRPr="00877B11" w:rsidRDefault="00877B11" w:rsidP="00877B1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877B11">
        <w:rPr>
          <w:rFonts w:ascii="Times New Roman" w:hAnsi="Times New Roman" w:cs="Times New Roman"/>
          <w:sz w:val="28"/>
          <w:szCs w:val="28"/>
          <w:lang w:val="pt-BR"/>
        </w:rPr>
        <w:lastRenderedPageBreak/>
        <w:t>- Vào đầu giờ buổi sáng: 6h50. Vào tiết 1: 7h00, hết tiết 5: 11h10</w:t>
      </w:r>
    </w:p>
    <w:p w:rsidR="00877B11" w:rsidRPr="00877B11" w:rsidRDefault="00877B11" w:rsidP="00877B1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877B11">
        <w:rPr>
          <w:rFonts w:ascii="Times New Roman" w:hAnsi="Times New Roman" w:cs="Times New Roman"/>
          <w:sz w:val="28"/>
          <w:szCs w:val="28"/>
          <w:lang w:val="pt-BR"/>
        </w:rPr>
        <w:t>- Vào đầu giờ buổi chiều: 12h50. Vào tiết 1: 13h00, hết tiết 5: 17h10</w:t>
      </w:r>
    </w:p>
    <w:p w:rsidR="00877B11" w:rsidRPr="00877B11" w:rsidRDefault="00877B11" w:rsidP="00877B11">
      <w:pPr>
        <w:jc w:val="both"/>
        <w:rPr>
          <w:rFonts w:ascii="Times New Roman" w:hAnsi="Times New Roman" w:cs="Times New Roman"/>
          <w:sz w:val="28"/>
          <w:szCs w:val="28"/>
        </w:rPr>
      </w:pPr>
      <w:r w:rsidRPr="00877B11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877B11">
        <w:rPr>
          <w:rFonts w:ascii="Times New Roman" w:hAnsi="Times New Roman" w:cs="Times New Roman"/>
          <w:sz w:val="28"/>
          <w:szCs w:val="28"/>
        </w:rPr>
        <w:t xml:space="preserve">Yêu cầu: </w:t>
      </w:r>
      <w:r w:rsidRPr="00877B11">
        <w:rPr>
          <w:rFonts w:ascii="Times New Roman" w:hAnsi="Times New Roman" w:cs="Times New Roman"/>
          <w:b/>
          <w:bCs/>
          <w:sz w:val="28"/>
          <w:szCs w:val="28"/>
        </w:rPr>
        <w:t xml:space="preserve">GV đến trước giờ dạy ít nhất 5 </w:t>
      </w:r>
      <w:proofErr w:type="gramStart"/>
      <w:r w:rsidRPr="00877B11">
        <w:rPr>
          <w:rFonts w:ascii="Times New Roman" w:hAnsi="Times New Roman" w:cs="Times New Roman"/>
          <w:b/>
          <w:bCs/>
          <w:sz w:val="28"/>
          <w:szCs w:val="28"/>
        </w:rPr>
        <w:t xml:space="preserve">phút </w:t>
      </w:r>
      <w:r w:rsidRPr="00877B11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877B11" w:rsidRPr="00877B11" w:rsidRDefault="00877B11" w:rsidP="00877B11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877B11">
        <w:rPr>
          <w:rFonts w:ascii="Times New Roman" w:hAnsi="Times New Roman" w:cs="Times New Roman"/>
          <w:sz w:val="28"/>
          <w:szCs w:val="28"/>
          <w:lang w:val="pt-BR"/>
        </w:rPr>
        <w:t>+ Phân công giáo viên trực ban tuần 1 của năm học 2018-2019:</w:t>
      </w:r>
    </w:p>
    <w:p w:rsidR="00877B11" w:rsidRPr="00877B11" w:rsidRDefault="00877B11" w:rsidP="00877B11">
      <w:pPr>
        <w:jc w:val="both"/>
        <w:rPr>
          <w:rFonts w:ascii="Times New Roman" w:hAnsi="Times New Roman" w:cs="Times New Roman"/>
          <w:sz w:val="28"/>
          <w:szCs w:val="28"/>
        </w:rPr>
      </w:pPr>
      <w:r w:rsidRPr="00877B11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877B11">
        <w:rPr>
          <w:rFonts w:ascii="Times New Roman" w:hAnsi="Times New Roman" w:cs="Times New Roman"/>
          <w:sz w:val="28"/>
          <w:szCs w:val="28"/>
        </w:rPr>
        <w:t xml:space="preserve">Buổi sáng: GV chủ nhiệm lớp 9A. Buổi chiều: GV chủ nhiệm lớp 7A. Nhận sổ trực ban tại văn phòng, ghi chép </w:t>
      </w:r>
      <w:proofErr w:type="gramStart"/>
      <w:r w:rsidRPr="00877B11">
        <w:rPr>
          <w:rFonts w:ascii="Times New Roman" w:hAnsi="Times New Roman" w:cs="Times New Roman"/>
          <w:sz w:val="28"/>
          <w:szCs w:val="28"/>
        </w:rPr>
        <w:t>theo</w:t>
      </w:r>
      <w:proofErr w:type="gramEnd"/>
      <w:r w:rsidRPr="00877B11">
        <w:rPr>
          <w:rFonts w:ascii="Times New Roman" w:hAnsi="Times New Roman" w:cs="Times New Roman"/>
          <w:sz w:val="28"/>
          <w:szCs w:val="28"/>
        </w:rPr>
        <w:t xml:space="preserve"> dõi từ buổi học đầu tiên.</w:t>
      </w:r>
    </w:p>
    <w:p w:rsidR="00877B11" w:rsidRPr="00877B11" w:rsidRDefault="00877B11" w:rsidP="00877B11">
      <w:pPr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877B11">
        <w:rPr>
          <w:rFonts w:ascii="Times New Roman" w:hAnsi="Times New Roman" w:cs="Times New Roman"/>
          <w:sz w:val="28"/>
          <w:szCs w:val="28"/>
        </w:rPr>
        <w:t xml:space="preserve">    </w:t>
      </w:r>
      <w:r w:rsidRPr="00877B11">
        <w:rPr>
          <w:rFonts w:ascii="Times New Roman" w:hAnsi="Times New Roman" w:cs="Times New Roman"/>
          <w:sz w:val="28"/>
          <w:szCs w:val="28"/>
          <w:lang w:val="sv-SE"/>
        </w:rPr>
        <w:t>+ Nhiệm vụ của giáo viên trực ban trong tuần:</w:t>
      </w:r>
    </w:p>
    <w:p w:rsidR="00877B11" w:rsidRPr="00877B11" w:rsidRDefault="00877B11" w:rsidP="00877B11">
      <w:pPr>
        <w:jc w:val="both"/>
        <w:rPr>
          <w:rFonts w:ascii="Times New Roman" w:hAnsi="Times New Roman" w:cs="Times New Roman"/>
          <w:sz w:val="28"/>
          <w:szCs w:val="28"/>
        </w:rPr>
      </w:pPr>
      <w:r w:rsidRPr="00877B11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877B11">
        <w:rPr>
          <w:rFonts w:ascii="Times New Roman" w:hAnsi="Times New Roman" w:cs="Times New Roman"/>
          <w:sz w:val="28"/>
          <w:szCs w:val="28"/>
        </w:rPr>
        <w:t xml:space="preserve">- Giúp BGH điều hành và kiểm tra việc thực hiện TKB của GV trong khối trực ban. </w:t>
      </w:r>
      <w:proofErr w:type="gramStart"/>
      <w:r w:rsidRPr="00877B11">
        <w:rPr>
          <w:rFonts w:ascii="Times New Roman" w:hAnsi="Times New Roman" w:cs="Times New Roman"/>
          <w:sz w:val="28"/>
          <w:szCs w:val="28"/>
        </w:rPr>
        <w:t>Nếu có vấn đề bất thường phải kịp thời báo cáo với BGH trực trường.</w:t>
      </w:r>
      <w:proofErr w:type="gramEnd"/>
    </w:p>
    <w:p w:rsidR="00877B11" w:rsidRPr="00877B11" w:rsidRDefault="00877B11" w:rsidP="00877B11">
      <w:pPr>
        <w:jc w:val="both"/>
        <w:rPr>
          <w:rFonts w:ascii="Times New Roman" w:hAnsi="Times New Roman" w:cs="Times New Roman"/>
          <w:sz w:val="28"/>
          <w:szCs w:val="28"/>
        </w:rPr>
      </w:pPr>
      <w:r w:rsidRPr="00877B11">
        <w:rPr>
          <w:rFonts w:ascii="Times New Roman" w:hAnsi="Times New Roman" w:cs="Times New Roman"/>
          <w:sz w:val="28"/>
          <w:szCs w:val="28"/>
        </w:rPr>
        <w:tab/>
        <w:t>- Kết hợp với TPT Đội kiểm tra, nhắc nhở các nề nếp của HS trong khối trực ban.</w:t>
      </w:r>
    </w:p>
    <w:p w:rsidR="00877B11" w:rsidRPr="00877B11" w:rsidRDefault="00877B11" w:rsidP="00877B11">
      <w:pPr>
        <w:jc w:val="both"/>
        <w:rPr>
          <w:rFonts w:ascii="Times New Roman" w:hAnsi="Times New Roman" w:cs="Times New Roman"/>
          <w:sz w:val="28"/>
          <w:szCs w:val="28"/>
        </w:rPr>
      </w:pPr>
      <w:r w:rsidRPr="00877B11">
        <w:rPr>
          <w:rFonts w:ascii="Times New Roman" w:hAnsi="Times New Roman" w:cs="Times New Roman"/>
          <w:sz w:val="28"/>
          <w:szCs w:val="28"/>
        </w:rPr>
        <w:tab/>
        <w:t>- Cuối tuần tổng kết, đánh giá, xếp loại thi đua các lớp và ghi vào sổ trực ban.</w:t>
      </w:r>
    </w:p>
    <w:p w:rsidR="00877B11" w:rsidRPr="00877B11" w:rsidRDefault="00877B11" w:rsidP="00877B11">
      <w:pPr>
        <w:jc w:val="both"/>
        <w:rPr>
          <w:rFonts w:ascii="Times New Roman" w:hAnsi="Times New Roman" w:cs="Times New Roman"/>
          <w:sz w:val="28"/>
          <w:szCs w:val="28"/>
        </w:rPr>
      </w:pPr>
      <w:r w:rsidRPr="00877B11">
        <w:rPr>
          <w:rFonts w:ascii="Times New Roman" w:hAnsi="Times New Roman" w:cs="Times New Roman"/>
          <w:sz w:val="28"/>
          <w:szCs w:val="28"/>
        </w:rPr>
        <w:tab/>
        <w:t xml:space="preserve">- Nhận xét, đánh giá dưới cờ vào thứ hai đầu tuần những tình hình trong tuần trực ban. Bàn giao sổ trực ban cho giáo viên trực ban tuần tiếp </w:t>
      </w:r>
      <w:proofErr w:type="gramStart"/>
      <w:r w:rsidRPr="00877B11">
        <w:rPr>
          <w:rFonts w:ascii="Times New Roman" w:hAnsi="Times New Roman" w:cs="Times New Roman"/>
          <w:sz w:val="28"/>
          <w:szCs w:val="28"/>
        </w:rPr>
        <w:t>theo</w:t>
      </w:r>
      <w:proofErr w:type="gramEnd"/>
      <w:r w:rsidRPr="00877B11">
        <w:rPr>
          <w:rFonts w:ascii="Times New Roman" w:hAnsi="Times New Roman" w:cs="Times New Roman"/>
          <w:sz w:val="28"/>
          <w:szCs w:val="28"/>
        </w:rPr>
        <w:t>.</w:t>
      </w:r>
    </w:p>
    <w:p w:rsidR="00877B11" w:rsidRPr="00877B11" w:rsidRDefault="00877B11" w:rsidP="00877B11">
      <w:pPr>
        <w:rPr>
          <w:rFonts w:ascii="Times New Roman" w:hAnsi="Times New Roman" w:cs="Times New Roman"/>
          <w:sz w:val="28"/>
          <w:szCs w:val="28"/>
          <w:lang w:val="fr-FR"/>
        </w:rPr>
      </w:pPr>
    </w:p>
    <w:p w:rsidR="009D3E4C" w:rsidRPr="00877B11" w:rsidRDefault="009D3E4C">
      <w:pPr>
        <w:rPr>
          <w:rFonts w:ascii="Times New Roman" w:hAnsi="Times New Roman" w:cs="Times New Roman"/>
          <w:sz w:val="28"/>
          <w:szCs w:val="28"/>
        </w:rPr>
      </w:pPr>
    </w:p>
    <w:sectPr w:rsidR="009D3E4C" w:rsidRPr="00877B11" w:rsidSect="00877B11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F305D"/>
    <w:multiLevelType w:val="hybridMultilevel"/>
    <w:tmpl w:val="52108740"/>
    <w:lvl w:ilvl="0" w:tplc="F26CA1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useFELayout/>
  </w:compat>
  <w:rsids>
    <w:rsidRoot w:val="00877B11"/>
    <w:rsid w:val="00877B11"/>
    <w:rsid w:val="009D3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1657</Characters>
  <Application>Microsoft Office Word</Application>
  <DocSecurity>0</DocSecurity>
  <Lines>13</Lines>
  <Paragraphs>3</Paragraphs>
  <ScaleCrop>false</ScaleCrop>
  <Company>VANQUY-PC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2018-10-12T09:38:00Z</dcterms:created>
  <dcterms:modified xsi:type="dcterms:W3CDTF">2018-10-12T09:39:00Z</dcterms:modified>
</cp:coreProperties>
</file>